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2E75B6" w:sz="12" w:space="8"/>
        </w:pBdr>
        <w:spacing w:after="80" w:before="1400"/>
        <w:jc w:val="center"/>
      </w:pPr>
      <w:r>
        <w:rPr>
          <w:b/>
          <w:bCs/>
          <w:color w:val="1F3A5F"/>
          <w:sz w:val="40"/>
          <w:szCs w:val="40"/>
        </w:rPr>
        <w:t xml:space="preserve">ПРОЕКТ ВВОДА В ПРОМЫШЛЕННУЮ ЭКСПЛУАТАЦИЮ</w:t>
      </w:r>
    </w:p>
    <w:p>
      <w:pPr>
        <w:spacing w:after="80" w:before="200"/>
        <w:jc w:val="center"/>
      </w:pPr>
      <w:r>
        <w:rPr>
          <w:color w:val="2E75B6"/>
          <w:sz w:val="30"/>
          <w:szCs w:val="30"/>
        </w:rPr>
        <w:t xml:space="preserve">Production-Ready облачная платформа IaaS</w:t>
      </w:r>
    </w:p>
    <w:p>
      <w:pPr>
        <w:spacing w:after="400"/>
        <w:jc w:val="center"/>
      </w:pPr>
      <w:r>
        <w:rPr>
          <w:i/>
          <w:iCs/>
          <w:color w:val="1A1A1A"/>
          <w:sz w:val="24"/>
          <w:szCs w:val="24"/>
        </w:rPr>
        <w:t xml:space="preserve">Кластер OpenStack гипермасштаба (300+ узлов) с порталом самообслуживания</w:t>
      </w:r>
    </w:p>
    <w:p>
      <w:pPr>
        <w:spacing w:after="60"/>
        <w:jc w:val="center"/>
      </w:pPr>
      <w:r>
        <w:rPr>
          <w:b/>
          <w:bCs/>
          <w:sz w:val="24"/>
          <w:szCs w:val="24"/>
        </w:rPr>
        <w:t xml:space="preserve">Жизненный цикл и безопасное обслуживание: горизонт 15+ лет</w:t>
      </w:r>
    </w:p>
    <w:p>
      <w:pPr>
        <w:spacing w:after="40" w:before="600"/>
        <w:jc w:val="center"/>
      </w:pPr>
      <w:r>
        <w:rPr>
          <w:color w:val="2E75B6"/>
          <w:sz w:val="20"/>
          <w:szCs w:val="20"/>
        </w:rPr>
        <w:t xml:space="preserve">Сдача под ключ · Архитектура · Развёртывание · Эксплуатация · Lifecycle</w:t>
      </w:r>
    </w:p>
    <w:p>
      <w:pPr>
        <w:spacing w:after="20" w:before="1000"/>
        <w:jc w:val="center"/>
      </w:pPr>
      <w:r>
        <w:rPr>
          <w:i/>
          <w:iCs/>
          <w:sz w:val="20"/>
          <w:szCs w:val="20"/>
        </w:rPr>
        <w:t xml:space="preserve">Технический проектный документ</w:t>
      </w:r>
    </w:p>
    <w:p>
      <w:pPr>
        <w:spacing w:after="20"/>
        <w:jc w:val="center"/>
      </w:pPr>
      <w:r>
        <w:rPr>
          <w:color w:val="666666"/>
          <w:sz w:val="18"/>
          <w:szCs w:val="18"/>
        </w:rPr>
        <w:t xml:space="preserve">Версия 1.0 · Конфиденциально</w:t>
      </w:r>
    </w:p>
    <w:p>
      <w:pPr>
        <w:spacing w:after="20"/>
        <w:jc w:val="center"/>
      </w:pPr>
      <w:r>
        <w:rPr>
          <w:color w:val="666666"/>
          <w:sz w:val="18"/>
          <w:szCs w:val="18"/>
        </w:rPr>
        <w:t xml:space="preserve">Юрисдикция: Республика Казахстан (НБРК / АРРФР / PCI DSS / НУЦ РК)</w:t>
      </w:r>
    </w:p>
    <w:p>
      <w:r>
        <w:br w:type="page"/>
      </w:r>
    </w:p>
    <w:p>
      <w:pPr>
        <w:pStyle w:val="Heading1"/>
      </w:pPr>
      <w:r>
        <w:t xml:space="preserve">Содержание</w:t>
      </w:r>
    </w:p>
    <w:sdt>
      <w:sdtPr>
        <w:alias w:val="Содержание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0. Резюме для руководства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Настоящий документ описывает полный цикл создания и ввода в промышленную эксплуатацию облачной платформы IaaS гипермасштаба под ключ: от архитектурного фундамента и спецификации оборудования до процедур развёртывания, регламентов эксплуатации, модели безопасности и стратегии управления жизненным циклом на горизонте 15 и более лет.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Ключевая инженерная идея проекта — разделение долгоживущего контракта (клиентский API и портал самообслуживания) и сменного наполнения (гипервизоры, оборудование, релизы платформы). За 15 лет платформа переживёт три–четыре волны обновления оборудования и столько же мажорных релизов программного стека; клиент не должен ощущать ни одну из этих миграций. Именно развязка слоёв, а не выбор конкретной технологии, обеспечивает заявленный срок жизни.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3A5F" w:sz="24"/>
              <w:bottom w:val="none"/>
              <w:right w:val="none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</w:rPr>
              <w:t xml:space="preserve">Что обеспечивает срок жизни 15+ лет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Стабильный API-контракт как граница совместимости между порталом и платформой.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Ячеистая (cells v2) топология управления — горизонтальное масштабирование control plane без переписывания.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Инфраструктура как код с версионированием — знание системы хранится в репозитории, а не в головах.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Rolling-обновления control plane и live-обслуживание compute без простоя клиентских ВМ.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Открытые стандарты (OpenStack API, S3, VXLAN/EVPN, Ceph) вместо проприетарной привязки.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Параметр проекта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Целевое значение первой волны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Масштаб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300+ физических узлов, единый регион, несколько зон доступности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Платформа управления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OpenStack (ячеистая архитектура Nova cells v2)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Хранилище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Ceph (RBD + RGW S3), многокластерная топология по зонам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Сеть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OVN / VXLAN-EVPN оверлей поверх spine-leaf фабрики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Портал клиентов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Skyline + слой самообслуживания (OpenTofu / ManageIQ)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Целевая доступность control plane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99,95 % и выше</w:t>
            </w:r>
          </w:p>
        </w:tc>
      </w:tr>
      <w:tr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Горизонт жизненного цикла</w:t>
            </w:r>
          </w:p>
        </w:tc>
        <w:tc>
          <w:tcPr>
            <w:tcW w:type="dxa" w:w="6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15+ лет с тремя волнами обновления оборудования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1. Область применения и принципы проектирования</w:t>
      </w:r>
    </w:p>
    <w:p>
      <w:pPr>
        <w:pStyle w:val="Heading2"/>
      </w:pPr>
      <w:r>
        <w:t xml:space="preserve">1.1. Назначение документа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Документ предназначен для архитекторов, инженеров эксплуатации, службы информационной безопасности и руководства провайдера. Он служит одновременно проектным заданием на развёртывание, эксплуатационным регламентом и основанием для приёмки системы в промышленную эксплуатацию.</w:t>
      </w:r>
    </w:p>
    <w:p>
      <w:pPr>
        <w:pStyle w:val="Heading2"/>
      </w:pPr>
      <w:r>
        <w:t xml:space="preserve">1.2. Принципы проектирования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Развязка слоёв. </w:t>
      </w:r>
      <w:r>
        <w:t xml:space="preserve">Каждый слой (портал, API, control plane, data plane, оборудование) заменяется независимо. Изменение в одном слое не должно вынуждать переделку соседних.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Контракт важнее реализации. </w:t>
      </w:r>
      <w:r>
        <w:t xml:space="preserve">Внешняя граница системы — стабильный API. Внутреннее наполнение свободно эволюционирует, пока контракт сохраняется.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Отказоустойчивость по умолчанию. </w:t>
      </w:r>
      <w:r>
        <w:t xml:space="preserve">N+1 на каждом критическом слое; отказ любого одиночного компонента не приводит к простою клиентов.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Всё как код. </w:t>
      </w:r>
      <w:r>
        <w:t xml:space="preserve">Конфигурация, топология и процедуры описаны декларативно, версионируются и проходят ревью. Ручные изменения в продакшене запрещены.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Безопасность встроена, а не добавлена. </w:t>
      </w:r>
      <w:r>
        <w:t xml:space="preserve">Сегментация, шифрование, аудит и комплаенс закладываются на этапе проектирования, а не навешиваются позже.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Стандарты вместо вендора. </w:t>
      </w:r>
      <w:r>
        <w:t xml:space="preserve">Предпочтение открытым протоколам и форматам, чтобы исключить привязку, неприемлемую на горизонте 15 лет.</w:t>
      </w:r>
    </w:p>
    <w:p>
      <w:pPr>
        <w:pStyle w:val="Heading2"/>
      </w:pPr>
      <w:r>
        <w:t xml:space="preserve">1.3. Вне области документа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t xml:space="preserve">Детальная физическая инженерия ЦОД (электропитание, охлаждение, СКС) — отдельный проект.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t xml:space="preserve">Финансовая модель тарификации и биллинговая интеграция — отдельный документ.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t xml:space="preserve">Прикладные сервисы поверх IaaS (PaaS, управляемые БД) — последующие фазы.</w:t>
      </w:r>
    </w:p>
    <w:p>
      <w:r>
        <w:br w:type="page"/>
      </w:r>
    </w:p>
    <w:p>
      <w:pPr>
        <w:pStyle w:val="Heading1"/>
      </w:pPr>
      <w:r>
        <w:t xml:space="preserve">2. Архитектура платформы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Архитектура построена как набор горизонтальных слоёв с чётко определёнными границами. Ниже каждый слой описан с точки зрения роли, технологий и причин выбора именно такой топологии для гипермасштаба.</w:t>
      </w:r>
    </w:p>
    <w:p>
      <w:pPr>
        <w:pStyle w:val="Heading2"/>
      </w:pPr>
      <w:r>
        <w:t xml:space="preserve">2.1. Слой управления (control plane)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На масштабе 300+ узлов монолитный control plane становится узким местом: единая база данных Nova и единая шина сообщений не выдерживают совокупную нагрузку планировщика и телеметрии. Поэтому управление строится по ячеистой модели.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Cells v2. </w:t>
      </w:r>
      <w:r>
        <w:t xml:space="preserve">Узлы compute разбиваются на ячейки (cells) по 50–100 хостов. Каждая ячейка имеет собственную базу данных Nova и собственную шину сообщений. Верхний уровень (API + superconductor) маршрутизирует запросы между ячейками.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HA-тройка верхнего уровня. </w:t>
      </w:r>
      <w:r>
        <w:t xml:space="preserve">Keystone, Glance, Neutron-сервер, Placement и Nova-API развёрнуты в виде трёх контроллеров за балансировщиком (HAProxy + Keepalived/VRRP).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База данных. </w:t>
      </w:r>
      <w:r>
        <w:t xml:space="preserve">Galera-кластер (MariaDB) из трёх узлов с синхронной репликацией; для cells — отдельные инстансы на ячейку.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Шина сообщений. </w:t>
      </w:r>
      <w:r>
        <w:t xml:space="preserve">RabbitMQ в кластере с зеркалированием очередей; на каждую ячейку — выделенный брокер для изоляции отказов.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2E75B6" w:sz="24"/>
              <w:bottom w:val="none"/>
              <w:right w:val="none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E75B6"/>
              </w:rPr>
              <w:t xml:space="preserve">Почему cells, а не «больше контроллеров»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Линейное масштабирование: добавление ячейки не увеличивает нагрузку на существующие БД и брокеры.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Изоляция отказов: проблема в одной ячейке не валит планирование во всём регионе.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Это штатная, поддерживаемая в апстриме модель — не самодельный обходной путь, что критично для 15-летнего горизонта.</w:t>
            </w:r>
          </w:p>
        </w:tc>
      </w:tr>
    </w:tbl>
    <w:p>
      <w:pPr>
        <w:pStyle w:val="Heading2"/>
      </w:pPr>
      <w:r>
        <w:t xml:space="preserve">2.2. Слой данных (data plane)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Слой данных — это собственно вычислительные узлы и сеть передачи трафика клиентских ВМ. Он сознательно отделён от управления: обслуживание или замена узлов не затрагивает API.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Compute-узлы. </w:t>
      </w:r>
      <w:r>
        <w:t xml:space="preserve">KVM/QEMU как гипервизор. Узлы группируются в host aggregates по поколениям оборудования и классам ресурсов (CPU-, RAM-, GPU-оптимизированные), что позволяет вводить новое железо рядом со старым.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Живая миграция. </w:t>
      </w:r>
      <w:r>
        <w:t xml:space="preserve">Все узлы используют общий или совместимый формат дисков (Ceph RBD), что обеспечивает живую миграцию ВМ между хостами без простоя — основа безопасного обслуживания.</w:t>
      </w:r>
    </w:p>
    <w:p>
      <w:pPr>
        <w:pStyle w:val="Heading2"/>
      </w:pPr>
      <w:r>
        <w:t xml:space="preserve">2.3. Слой хранения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Ceph выбран как универсальный программно-определяемый backend, закрывающий блочное, объектное и (при необходимости) файловое хранилище одним кластером, масштабируемым горизонтально на весь горизонт жизни платформы.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Интерфейс Ceph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Назначение в платформе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RBD (RADOS Block Device)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Диски ВМ (Nova), тома Cinder, образы Glance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RGW (RADOS Gateway, S3/Swift)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Объектное хранилище для клиентов и резервных копий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CephFS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Общие файловые тома (Manila) — по требованию</w:t>
            </w:r>
          </w:p>
        </w:tc>
      </w:tr>
    </w:tbl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Многокластерность по зонам. </w:t>
      </w:r>
      <w:r>
        <w:t xml:space="preserve">На гипермасштабе один плоский кластер Ceph нежелателен: домен отказа слишком велик, а восстановление при сбое затягивается. Развёртываются отдельные кластеры Ceph на зону доступности с репликацией объектов (RGW multisite) между ними.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Классы хранения. </w:t>
      </w:r>
      <w:r>
        <w:t xml:space="preserve">Crush-правила разделяют NVMe-пул (производительный) и QLC/HDD-пул (ёмкостный), что даёт клиентам разные тиры по цене и скорости.</w:t>
      </w:r>
    </w:p>
    <w:p>
      <w:pPr>
        <w:pStyle w:val="Heading2"/>
      </w:pPr>
      <w:r>
        <w:t xml:space="preserve">2.4. Сетевой слой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Сеть строится по топологии spine-leaf с оверлеем VXLAN/EVPN-BGP, что даёт горизонтальное масштабирование без узких мест ядра и независимость логической топологии клиентов от физической.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SDN. </w:t>
      </w:r>
      <w:r>
        <w:t xml:space="preserve">OVN как backend Neutron — фактический стандарт, распределяющий логику коммутации и маршрутизации по узлам без центрального бутылочного горлышка.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Изоляция арендаторов. </w:t>
      </w:r>
      <w:r>
        <w:t xml:space="preserve">Каждый клиент получает изолированные виртуальные сети (geneve/VXLAN), security groups и при необходимости выделенные внешние адреса.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Граничная маршрутизация. </w:t>
      </w:r>
      <w:r>
        <w:t xml:space="preserve">Внешний BGP-стык вынесен на отдельные пограничные маршрутизаторы (по образцу разделения, уже применяемого в вашей практике), а не совмещён с коммутаторами ядра.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2E75B6" w:sz="24"/>
              <w:bottom w:val="none"/>
              <w:right w:val="none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E75B6"/>
              </w:rPr>
              <w:t xml:space="preserve">Развязка логики и железа в сети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Логические сети клиентов живут в оверлее и не зависят от модели коммутаторов под ними.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Замена leaf-коммутатора или целого поколения фабрики не требует переконфигурации клиентских сетей.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EVPN обеспечивает мультитенантность и мобильность ВМ между leaf-доменами.</w:t>
            </w:r>
          </w:p>
        </w:tc>
      </w:tr>
    </w:tbl>
    <w:p>
      <w:pPr>
        <w:pStyle w:val="Heading2"/>
      </w:pPr>
      <w:r>
        <w:t xml:space="preserve">2.5. Слой портала и самообслуживания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Портал — единственное, что видит клиент, и именно он обязан пережить все внутренние миграции. Поэтому портал обращается исключительно к стабильным версионированным API платформы и никогда — к внутренним компонентам напрямую.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Skyline. </w:t>
      </w:r>
      <w:r>
        <w:t xml:space="preserve">Современный веб-интерфейс OpenStack как основа панели клиента.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Слой автоматизации. </w:t>
      </w:r>
      <w:r>
        <w:t xml:space="preserve">OpenTofu для декларативного предоставления ресурсов и ManageIQ как оркестратор политик и каталога услуг, формирующие слой самообслуживания поверх API.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Граница совместимости. </w:t>
      </w:r>
      <w:r>
        <w:t xml:space="preserve">Любая смена релиза OpenStack проверяется на сохранение API-контракта до выката; портал версионируется независимо от платформы.</w:t>
      </w:r>
    </w:p>
    <w:p>
      <w:r>
        <w:br w:type="page"/>
      </w:r>
    </w:p>
    <w:p>
      <w:pPr>
        <w:pStyle w:val="Heading1"/>
      </w:pPr>
      <w:r>
        <w:t xml:space="preserve">3. Спецификация оборудования и планирование ёмкости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Раздел задаёт принципы подбора и масштабирования оборудования на горизонте жизненного цикла. Конкретные модели намеренно не фиксируются: за 15 лет они сменятся неоднократно. Фиксируются классы узлов, принципы соразмерности и стратегия обновления волнами.</w:t>
      </w:r>
    </w:p>
    <w:p>
      <w:pPr>
        <w:pStyle w:val="Heading2"/>
      </w:pPr>
      <w:r>
        <w:t xml:space="preserve">3.1. Классы узлов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3200"/>
        <w:gridCol w:w="4060"/>
      </w:tblGrid>
      <w:tr>
        <w:trPr>
          <w:tblHeader/>
        </w:trP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Класс узла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Роль</w:t>
            </w:r>
          </w:p>
        </w:tc>
        <w:tc>
          <w:tcPr>
            <w:tcW w:type="dxa" w:w="4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Принцип подбора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Контроллер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Верхний control plane (API, БД, шина)</w:t>
            </w:r>
          </w:p>
        </w:tc>
        <w:tc>
          <w:tcPr>
            <w:tcW w:type="dxa" w:w="4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Высокая частота CPU, быстрый NVMe под БД, дублирование питания/сети; 3+ на регион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Compute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Размещение клиентских ВМ</w:t>
            </w:r>
          </w:p>
        </w:tc>
        <w:tc>
          <w:tcPr>
            <w:tcW w:type="dxa" w:w="4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Плотность vCPU и RAM; группировка в host aggregates по поколениям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Storage (Ceph OSD)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Узлы хранения данных</w:t>
            </w:r>
          </w:p>
        </w:tc>
        <w:tc>
          <w:tcPr>
            <w:tcW w:type="dxa" w:w="4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Сбалансированное соотношение NVMe/ёмкостных дисков; отдельная сеть кластера Ceph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Сетевой/граничный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BGP-стык, балансировка, шлюзы</w:t>
            </w:r>
          </w:p>
        </w:tc>
        <w:tc>
          <w:tcPr>
            <w:tcW w:type="dxa" w:w="4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Выделенные узлы; не совмещать с control plane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Управляющий/служебный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Мониторинг, логи, CI/CD, бастион</w:t>
            </w:r>
          </w:p>
        </w:tc>
        <w:tc>
          <w:tcPr>
            <w:tcW w:type="dxa" w:w="40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Изолированный сегмент управления</w:t>
            </w:r>
          </w:p>
        </w:tc>
      </w:tr>
    </w:tbl>
    <w:p>
      <w:pPr>
        <w:pStyle w:val="Heading2"/>
      </w:pPr>
      <w:r>
        <w:t xml:space="preserve">3.2. Принципы соразмерности (sizing)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Резерв на отказ. </w:t>
      </w:r>
      <w:r>
        <w:t xml:space="preserve">Планируемая ёмкость рассчитывается с запасом N+1 на уровне зоны: при выходе из строя целого узла нагрузка размещается на оставшихся без нарушения SLA.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Порог наполнения. </w:t>
      </w:r>
      <w:r>
        <w:t xml:space="preserve">Целевое наполнение compute — не выше 80 % по CPU/RAM в установившемся режиме; превышение запускает процедуру расширения ёмкости.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Ceph с запасом на восстановление. </w:t>
      </w:r>
      <w:r>
        <w:t xml:space="preserve">Заполнение кластера хранения не выше 70–75 %: остаток нужен для ребалансировки при отказе OSD без деградации.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Соотношение переподписки. </w:t>
      </w:r>
      <w:r>
        <w:t xml:space="preserve">Коэффициенты переподписки vCPU фиксируются на уровне flavor и host aggregate и являются предметом SLA, а не стихийной практики.</w:t>
      </w:r>
    </w:p>
    <w:p>
      <w:pPr>
        <w:pStyle w:val="Heading2"/>
      </w:pPr>
      <w:r>
        <w:t xml:space="preserve">3.3. Стратегия обновления волнами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Ключ к 15-летнему сроку — не закупить «вечное» железо, а встроить смену поколений в нормальную эксплуатацию. Оборудование вводится и выводится волнами, при этом API-контракт остаётся неизменным.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6160"/>
      </w:tblGrid>
      <w:tr>
        <w:trPr>
          <w:tblHeader/>
        </w:trP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Волна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Горизонт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Содержание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Волна 1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Годы 0–5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Первичное развёртывание 300+ узлов; стабилизация процессов эксплуатации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Волна 2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Годы 5–10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Ввод нового поколения compute рядом со старым; постепенный вывод первой волны; миграция ВМ живой миграцией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Волна 3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Годы 10–15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Полная замена остатков первой волны; обновление сетевой фабрики и узлов хранения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Волна 4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Годы 15+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Плановое продление; решение о смене поколения платформы при сохранении API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E7B3C"/>
              </w:rPr>
              <w:t xml:space="preserve">Правило ввода нового железа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Новое поколение вводится как отдельный host aggregate, а не подменяет старое одномоментно.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Старое поколение выводится только после живой миграции всех клиентских ВМ.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Клиент не уведомляется о смене оборудования — для него меняется лишь доступная ёмкость, а не контракт.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Стратегия и порядок развёртывания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Развёртывание выполняется строго по порядку слоёв снизу вверх: сначала фундамент (сеть и хранение), затем управление, затем вычисления, и в конце — портал. Каждый этап завершается приёмочной проверкой, без прохождения которой переход к следующему этапу запрещён.</w:t>
      </w:r>
    </w:p>
    <w:p>
      <w:pPr>
        <w:pStyle w:val="Heading2"/>
      </w:pPr>
      <w:r>
        <w:t xml:space="preserve">4.1. Последовательность этапов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Подготовка управляющего сегмента: бастион, репозиторий артефактов, система IaC, хранилище состояния (state) с защитой и блокировками.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сетевой фабрики: spine-leaf, BGP underlay, проверка EVPN-связности до ввода нагрузки.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кластеров Ceph по зонам: bootstrap мониторов, ввод OSD, настройка crush-правил и пулов, проверка целостности.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верхнего control plane: Galera, RabbitMQ, Keystone, Glance, Placement, Neutron, Nova-API в HA.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ячеек (cells): БД и брокер на ячейку, регистрация ячейки в superconductor.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Ввод compute-узлов: установка гипервизора, регистрация в ячейках, формирование host aggregates.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портала: Skyline, слой OpenTofu/ManageIQ, каталог услуг, проверка API-контракта.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Интеграция безопасности и комплаенса: KMS/Barbican, аудит, интеграция с KalkanCrypt/НУЦ РК, сегментация PCI.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Приёмочное тестирование и нагрузочные испытания; подписание акта ввода в эксплуатацию.</w:t>
      </w:r>
    </w:p>
    <w:p>
      <w:pPr>
        <w:pStyle w:val="Heading2"/>
      </w:pPr>
      <w:r>
        <w:t xml:space="preserve">4.2. Чек-лист приёмки этапа (gate)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4660"/>
        <w:gridCol w:w="3000"/>
      </w:tblGrid>
      <w:tr>
        <w:trPr>
          <w:tblHeader/>
        </w:trP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Этап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Критерий прохождения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Артефакт приёмки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Сеть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EVPN-связность подтверждена между всеми leaf; отказ одного spine не рвёт трафик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Протокол сетевых тестов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Хранение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Ceph HEALTH_OK; отказ одного OSD восстанавливается без потери данных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Отчёт о тесте отказа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Control plane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Отказ одного контроллера не прерывает API; failover &lt; целевого порога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Протокол HA-теста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Cells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ВМ создаётся в каждой ячейке; планировщик корректно распределяет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Журнал создания ВМ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Compute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Живая миграция ВМ между узлами без потери связи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Протокол миграции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Портал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Полный сценарий клиента (создание/изменение/удаление ресурса) проходит через API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Сценарный отчёт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Безопасность</w:t>
            </w:r>
          </w:p>
        </w:tc>
        <w:tc>
          <w:tcPr>
            <w:tcW w:type="dxa" w:w="4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Сегментация подтверждена; аудит-трейл фиксирует действия; подпись операций работает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Акт ИБ</w:t>
            </w:r>
          </w:p>
        </w:tc>
      </w:tr>
    </w:tbl>
    <w:p>
      <w:pPr>
        <w:pStyle w:val="Heading2"/>
      </w:pPr>
      <w:r>
        <w:t xml:space="preserve">4.3. Инфраструктура как код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Единый источник истины. </w:t>
      </w:r>
      <w:r>
        <w:t xml:space="preserve">Вся топология описана декларативно и хранится в системе контроля версий; продакшен соответствует репозиторию.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Изменения через ревью. </w:t>
      </w:r>
      <w:r>
        <w:t xml:space="preserve">Любое изменение проходит как merge request с обязательным ревью и автоматической проверкой перед применением.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Защита состояния. </w:t>
      </w:r>
      <w:r>
        <w:t xml:space="preserve">Хранилище state защищено, поддерживает блокировки и историю, исключая параллельные и конфликтующие изменения.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Воспроизводимость. </w:t>
      </w:r>
      <w:r>
        <w:t xml:space="preserve">Любой узел и любая ячейка восстанавливаются из кода без ручных шагов; «снежинок» в инфраструктуре не существует.</w:t>
      </w:r>
    </w:p>
    <w:p>
      <w:r>
        <w:br w:type="page"/>
      </w:r>
    </w:p>
    <w:p>
      <w:pPr>
        <w:pStyle w:val="Heading1"/>
      </w:pPr>
      <w:r>
        <w:t xml:space="preserve">5. Пошаговое production-ready развёртывание OpenStack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Раздел детализирует фактическую установку OpenStack в production-конфигурации гипермасштаба. В отличие от раздела 4, описывающего порядок слоёв в целом, здесь приводится конкретная инструментальная цепочка, выбор релиза, пошаговые этапы с проверками и эталонная конфигурация. Все шаги выполняются через инфраструктуру как код; ручные действия в продакшене не допускаются.</w:t>
      </w:r>
    </w:p>
    <w:p>
      <w:pPr>
        <w:pStyle w:val="Heading2"/>
      </w:pPr>
      <w:r>
        <w:t xml:space="preserve">5.1. Выбор инструмента развёртывания и релиза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Для production-развёртывания применяется официальная связка проекта Kolla: Kolla-Ansible разворачивает все сервисы OpenStack в контейнерах, а Kayobe управляет инициализацией bare-metal control plane и узлов через Bifrost/Ironic. Контейнерная модель даёт изоляцию сервисов, предсказуемые обновления и быстрый откат — что критично для горизонта 15+ лет.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3260"/>
        <w:gridCol w:w="4000"/>
      </w:tblGrid>
      <w:tr>
        <w:trPr>
          <w:tblHeader/>
        </w:trP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Компонент цепочки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Роль</w:t>
            </w:r>
          </w:p>
        </w:tc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Обоснование для production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Kayobe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Подготовка bare metal, инициализация хостов, сеть, образы</w:t>
            </w:r>
          </w:p>
        </w:tc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Воспроизводимый ввод сотен узлов из кода через Ironic/Bifrost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Kolla-Ansible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Развёртывание сервисов OpenStack в контейнерах</w:t>
            </w:r>
          </w:p>
        </w:tc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Официальный инструмент, отлаженные production-дефолты, контейнерная изоляция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Собственный реестр образов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Хранение проверенных контейнеров</w:t>
            </w:r>
          </w:p>
        </w:tc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Публичные образы Kolla не проходят аудит безопасности и не годятся для продакшена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Git + CI/CD</w:t>
            </w:r>
          </w:p>
        </w:tc>
        <w:tc>
          <w:tcPr>
            <w:tcW w:type="dxa" w:w="3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Версионирование конфигурации и выкат</w:t>
            </w:r>
          </w:p>
        </w:tc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Единый источник истины, ревью изменений, повторяемость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3A5F" w:sz="24"/>
              <w:bottom w:val="none"/>
              <w:right w:val="none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</w:rPr>
              <w:t xml:space="preserve">Выбор релиза и стратегия обновлений (SLURP)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Развёртывание ведётся на актуальном SLURP-релизе (на момент подготовки — 2026.1 Gazpacho).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SLURP-релизы позволяют годовой цикл обновления с прямым переходом через один релиз (skip-level), без промежуточных шагов.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Это снижает частоту рискованных обновлений на гипермасштабе с двух до одного раза в год при сохранении поддержки.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Gazpacho приносит параллельную живую миграцию в Nova — прямое ускорение процедур безопасного обслуживания из раздела 6.</w:t>
            </w:r>
          </w:p>
        </w:tc>
      </w:tr>
    </w:tbl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  <w:sz w:val="20"/>
          <w:szCs w:val="20"/>
        </w:rPr>
        <w:t xml:space="preserve">Собственная сборка контейнерных образов обязательна: образы из публичного реестра Kolla предназначены для демонстрации и не проходят проверку безопасности, поэтому для продакшена создаётся и курируется собственный набор образов в защищённом реестре.</w:t>
      </w:r>
    </w:p>
    <w:p>
      <w:pPr>
        <w:pStyle w:val="Heading2"/>
      </w:pPr>
      <w:r>
        <w:t xml:space="preserve">5.2. Подготовка узла развёртывания и среды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Развернуть выделенный узел развёртывания (deployment host) в управляющем сегменте; на нём устанавливается Kayobe/Kolla-Ansible в изолированном Python-окружении (virtualenv).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Подготовить репозиторий конфигурации (kayobe-config) в системе контроля версий; все последующие изменения проходят через него.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Сгенерировать и поместить в защищённое хранилище секретов файл паролей (passwords.yml); запретить хранение секретов в открытом виде.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Развернуть и наполнить собственный реестр контейнерных образов проверенными сборками целевого релиза.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Описать инвентарь: группы deployment, control, network, compute, storage; число контроллеров — нечётное (3 или 5) для кворума.</w:t>
      </w:r>
    </w:p>
    <w:p>
      <w:pPr>
        <w:pStyle w:val="Heading2"/>
      </w:pPr>
      <w:r>
        <w:t xml:space="preserve">5.3. Эталонная роль узлов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Kolla-Ansible оперирует группами узлов. Для гипермасштаба роли строго разделяются, а control-узлы берутся в нечётном количестве для кворума баз данных и шины.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3700"/>
        <w:gridCol w:w="3960"/>
      </w:tblGrid>
      <w:tr>
        <w:trPr>
          <w:tblHeader/>
        </w:trP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Группа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Назначение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Замечание для гипермасштаба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control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API-сервисы, базы данных, шина сообщений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Нечётное число (3/5); выделенный аппаратный класс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network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Агенты Neutron, HAProxy, Keepalived, VIP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Вынести с control при высокой сетевой нагрузке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compute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Гипервизоры, размещение клиентских ВМ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Группируются в ячейки cells v2 и host aggregates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storage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Узлы Ceph / cinder-volume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Отдельная сеть кластера хранения</w:t>
            </w:r>
          </w:p>
        </w:tc>
      </w:tr>
      <w:tr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monitoring</w:t>
            </w:r>
          </w:p>
        </w:tc>
        <w:tc>
          <w:tcPr>
            <w:tcW w:type="dxa" w:w="3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Prometheus, Grafana, OpenSearch, Fluentd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Изолированный контур наблюдаемости</w:t>
            </w:r>
          </w:p>
        </w:tc>
      </w:tr>
    </w:tbl>
    <w:p>
      <w:pPr>
        <w:pStyle w:val="Heading2"/>
      </w:pPr>
      <w:r>
        <w:t xml:space="preserve">5.4. Сетевая подготовка (до выката сервисов)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Разделение сетей. </w:t>
      </w:r>
      <w:r>
        <w:t xml:space="preserve">Минимум разделяются: сеть управления (internal API), внешняя/публичная сеть (external/public), туннельная сеть оверлея (tenant/tunnel), сеть хранения (storage) и сеть кластера хранения. Совмещение этих сетей в продакшене недопустимо.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VIP и балансировка. </w:t>
      </w:r>
      <w:r>
        <w:t xml:space="preserve">Внутренний и внешний виртуальные адреса (kolla_internal_vip_address / external) обслуживаются HAProxy + Keepalived на сетевых узлах.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Оверлей. </w:t>
      </w:r>
      <w:r>
        <w:t xml:space="preserve">OVN/VXLAN-Geneve поверх spine-leaf фабрики; underlay (BGP) подготовлен и проверен до развёртывания сервисов (см. раздел 4).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MTU. </w:t>
      </w:r>
      <w:r>
        <w:t xml:space="preserve">Jumbo frames на туннельной и storage-сети; согласованность MTU проверяется до выката, иначе оверлей и Ceph деградируют незаметно.</w:t>
      </w:r>
    </w:p>
    <w:p>
      <w:pPr>
        <w:pStyle w:val="Heading2"/>
      </w:pPr>
      <w:r>
        <w:t xml:space="preserve">5.5. Последовательность развёртывания сервисов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После подготовки фундамента сервисы OpenStack разворачиваются единой управляемой последовательностью. Каждый шаг идемпотентен и повторяем из кода.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Bootstrap узлов: подготовка ОС, контейнерного рантайма, базовых пакетов на всех хостах (kayobe host configure / kolla-ansible bootstrap-servers).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Предварительные проверки: prechecks выявляют несоответствия инвентаря, сети и ресурсов до внесения изменений.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инфраструктурных сервисов: Galera (MariaDB), RabbitMQ, memcached, etcd, HAProxy/Keepalived.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Keystone: каталог сервисов, домены, проекты, роли; настройка RBAC и административного доступа с MFA.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Glance, Placement, Neutron (OVN), Nova (API + ячейки), Cinder (backend Ceph RBD).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Регистрация ячеек cells v2: для каждой ячейки — своя БД и брокер; проверка маршрутизации запросов superconductor.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Ввод compute-узлов в ячейки; обнаружение хостов (cell discovery); формирование host aggregates по поколениям и классам.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Развёртывание объектного хранилища (RGW S3) и контура наблюдаемости (Prometheus, Grafana, OpenSearch, Fluentd).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Постустановочная инициализация: внешние сети, базовые flavor, образы, квоты проектов (по образцу init-runonce, но в управляемом виде).</w:t>
      </w:r>
    </w:p>
    <w:p>
      <w:pPr>
        <w:pStyle w:val="Heading2"/>
      </w:pPr>
      <w:r>
        <w:t xml:space="preserve">5.6. Высокая доступность по умолчанию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HA закладывается на этапе развёртывания, а не достраивается позже. Конфигурация Kolla-Ansible для production обеспечивает резервирование на каждом критическом слое.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500"/>
        <w:gridCol w:w="3960"/>
      </w:tblGrid>
      <w:tr>
        <w:trPr>
          <w:tblHeader/>
        </w:trP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Слой</w:t>
            </w:r>
          </w:p>
        </w:tc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Механизм HA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Поведение при отказе одного узла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API-эндпоинты</w:t>
            </w:r>
          </w:p>
        </w:tc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HAProxy + Keepalived (VIP)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Запросы перенаправляются на живые backend-узлы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База данных</w:t>
            </w:r>
          </w:p>
        </w:tc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Galera (синхронная репликация)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Кворум сохраняется при 3+ узлах; запись продолжается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Шина сообщений</w:t>
            </w:r>
          </w:p>
        </w:tc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Кластер RabbitMQ с durable-очередями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Очереди доступны на оставшихся узлах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Хранение</w:t>
            </w:r>
          </w:p>
        </w:tc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Ceph (репликация/erasure)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Данные доступны; ребалансировка без простоя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Сеть</w:t>
            </w:r>
          </w:p>
        </w:tc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OVN распределённый, дублирование шлюзов</w:t>
            </w:r>
          </w:p>
        </w:tc>
        <w:tc>
          <w:tcPr>
            <w:tcW w:type="dxa" w:w="3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Трафик переключается на резервный путь</w:t>
            </w:r>
          </w:p>
        </w:tc>
      </w:tr>
    </w:tbl>
    <w:p>
      <w:pPr>
        <w:pStyle w:val="Heading2"/>
      </w:pPr>
      <w:r>
        <w:t xml:space="preserve">5.7. Приёмочная проверка развёртывания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Развёртывание считается завершённым только после прохождения функциональных и отказовых проверок. До их прохождения система в промышленную эксплуатацию не принимается.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Функциональная проверка. </w:t>
      </w:r>
      <w:r>
        <w:t xml:space="preserve">Полный жизненный цикл ресурса: создание сети, тома, образа и ВМ, назначение внешнего адреса, проверка связности, удаление — успешно во всех ячейках.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Отказовая проверка. </w:t>
      </w:r>
      <w:r>
        <w:t xml:space="preserve">Поочерёдное отключение по одному узлу из каждой HA-группы (контроллер, узел БД, брокер, OSD) без прерывания обслуживания клиентов.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Проверка живой миграции. </w:t>
      </w:r>
      <w:r>
        <w:t xml:space="preserve">Перенос работающей ВМ между compute-узлами без потери сетевой связи; подтверждение параллельной миграции на крупной нагрузке.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Проверка наблюдаемости. </w:t>
      </w:r>
      <w:r>
        <w:t xml:space="preserve">Все метрики, логи и алерты поступают в контур мониторинга; синтетический сценарий клиента отслеживается end-to-end.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Проверка безопасности. </w:t>
      </w:r>
      <w:r>
        <w:t xml:space="preserve">Изоляция арендаторов, работа аудита, шифрование томов и подпись операций подтверждены службой ИБ.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E7B3C"/>
              </w:rPr>
              <w:t xml:space="preserve">Инвариант шага развёртывания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Каждый шаг идемпотентен: повторный запуск из кода не ломает уже развёрнутое.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Каждый шаг завершается prechecks/проверкой до перехода к следующему.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Ни один шаг не выполняется вручную в обход репозитория конфигурации.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6. Регламент эксплуатации и безопасного обслуживания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Этот раздел определяет, как платформа живёт после ввода в эксплуатацию: как обновляется, обслуживается и восстанавливается без нарушения обязательств перед клиентами. Именно регулярность и предсказуемость этих процедур, а не разовая правильная установка, обеспечивают срок жизни 15+ лет.</w:t>
      </w:r>
    </w:p>
    <w:p>
      <w:pPr>
        <w:pStyle w:val="Heading2"/>
      </w:pPr>
      <w:r>
        <w:t xml:space="preserve">5.1. Обслуживание узла без простоя клиентов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Узел переводится в режим обслуживания: планировщик прекращает размещать на нём новые ВМ.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Все клиентские ВМ эвакуируются живой миграцией на соседние узлы той же ячейки.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Подтверждается отсутствие нагрузки; выполняется обслуживание (обновление, замена компонентов, патчинг).</w:t>
      </w:r>
    </w:p>
    <w:p>
      <w:pPr>
        <w:pStyle w:val="ListParagraph"/>
        <w:numPr>
          <w:ilvl w:val="0"/>
          <w:numId w:val="3"/>
        </w:numPr>
        <w:spacing w:after="80" w:line="272"/>
        <w:jc w:val="both"/>
      </w:pPr>
      <w:r>
        <w:t xml:space="preserve">Узел проходит проверку и возвращается в пул; при необходимости нагрузка ребалансируется.</w:t>
      </w:r>
    </w:p>
    <w:p>
      <w:pPr>
        <w:pStyle w:val="Heading2"/>
      </w:pPr>
      <w:r>
        <w:t xml:space="preserve">5.2. Обновление control plane (rolling upgrade)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Верхний control plane обновляется по одному контроллеру за раз. Балансировщик выводит обновляемый узел из ротации; оставшиеся два продолжают обслуживать API. После проверки узел возвращается, и процедура повторяется для следующего. Ячейки обновляются независимо друг от друга, что дополнительно снижает риск.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2E75B6" w:sz="24"/>
              <w:bottom w:val="none"/>
              <w:right w:val="none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E75B6"/>
              </w:rPr>
              <w:t xml:space="preserve">Инвариант обновлений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В любой момент времени API остаётся доступным: обновляется не более одного узла из HA-группы.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Совместимость API-контракта проверяется на стенде до выката в продакшен.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Откат предусмотрен на каждом шаге: при сбое узел возвращается к прежней версии.</w:t>
            </w:r>
          </w:p>
        </w:tc>
      </w:tr>
    </w:tbl>
    <w:p>
      <w:pPr>
        <w:pStyle w:val="Heading2"/>
      </w:pPr>
      <w:r>
        <w:t xml:space="preserve">5.3. Управление инцидентами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4760"/>
        <w:gridCol w:w="3200"/>
      </w:tblGrid>
      <w:tr>
        <w:trPr>
          <w:tblHeader/>
        </w:trP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Уровень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Описание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Целевая реакция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color w:val="9C2A2A"/>
                <w:sz w:val="20"/>
                <w:szCs w:val="20"/>
              </w:rPr>
              <w:t xml:space="preserve">SEV-1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Массовое влияние на клиентов / отказ зоны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Немедленно; задействуется дежурная эскалация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color w:val="B4690E"/>
                <w:sz w:val="20"/>
                <w:szCs w:val="20"/>
              </w:rPr>
              <w:t xml:space="preserve">SEV-2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Частичная деградация, обходной путь есть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 течение рабочего окна реагирования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color w:val="1E7B3C"/>
                <w:sz w:val="20"/>
                <w:szCs w:val="20"/>
              </w:rPr>
              <w:t xml:space="preserve">SEV-3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Локальное влияние без затрагивания SLA</w:t>
            </w:r>
          </w:p>
        </w:tc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Плановое устранение</w:t>
            </w:r>
          </w:p>
        </w:tc>
      </w:tr>
    </w:tbl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Постмортемы. </w:t>
      </w:r>
      <w:r>
        <w:t xml:space="preserve">Каждый инцидент SEV-1/SEV-2 завершается разбором без поиска виновных и фиксацией мер предотвращения в коде/процедурах.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Runbook. </w:t>
      </w:r>
      <w:r>
        <w:t xml:space="preserve">Типовые сценарии (отказ узла, деградация Ceph, рост очередей RabbitMQ, исчерпание ёмкости) имеют готовые пошаговые регламенты.</w:t>
      </w:r>
    </w:p>
    <w:p>
      <w:pPr>
        <w:pStyle w:val="Heading2"/>
      </w:pPr>
      <w:r>
        <w:t xml:space="preserve">5.4. Аварийное восстановление (DR)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Зональная изоляция. </w:t>
      </w:r>
      <w:r>
        <w:t xml:space="preserve">Отказ одной зоны доступности не приводит к потере платформы: control plane и хранилище распределены по зонам.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Резервное копирование. </w:t>
      </w:r>
      <w:r>
        <w:t xml:space="preserve">Конфигурация (через IaC) и данные клиентов (через RGW/снапшоты Ceph) резервируются; восстановление регулярно проверяется учениями.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Целевые показатели. </w:t>
      </w:r>
      <w:r>
        <w:t xml:space="preserve">RPO и RTO фиксируются на уровне классов услуг и подтверждаются регулярными DR-учениями, а не декларируются на бумаге.</w:t>
      </w:r>
    </w:p>
    <w:p>
      <w:r>
        <w:br w:type="page"/>
      </w:r>
    </w:p>
    <w:p>
      <w:pPr>
        <w:pStyle w:val="Heading1"/>
      </w:pPr>
      <w:r>
        <w:t xml:space="preserve">7. Безопасность и регуляторное соответствие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Модель безопасности учитывает специфику Республики Казахстан и требования регуляторов финансового сектора. Безопасность встроена в архитектуру на всех слоях, а не добавляется поверх готовой системы.</w:t>
      </w:r>
    </w:p>
    <w:p>
      <w:pPr>
        <w:pStyle w:val="Heading2"/>
      </w:pPr>
      <w:r>
        <w:t xml:space="preserve">6.1. Многослойная защита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7260"/>
      </w:tblGrid>
      <w:tr>
        <w:trPr>
          <w:tblHeader/>
        </w:trP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Слой</w:t>
            </w:r>
          </w:p>
        </w:tc>
        <w:tc>
          <w:tcPr>
            <w:tcW w:type="dxa" w:w="7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Меры защиты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Идентификация</w:t>
            </w:r>
          </w:p>
        </w:tc>
        <w:tc>
          <w:tcPr>
            <w:tcW w:type="dxa" w:w="7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Keystone с доменами и проектами; разделение ролей оператора и клиента; MFA для административного доступа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Сеть</w:t>
            </w:r>
          </w:p>
        </w:tc>
        <w:tc>
          <w:tcPr>
            <w:tcW w:type="dxa" w:w="7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Микросегментация через security groups и OVN ACL; изоляция арендаторов в оверлее; вынесенный граничный периметр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Данные</w:t>
            </w:r>
          </w:p>
        </w:tc>
        <w:tc>
          <w:tcPr>
            <w:tcW w:type="dxa" w:w="7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Шифрование томов (Barbican + KMS); шифрование объектов в RGW; шифрование резервных копий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Управление</w:t>
            </w:r>
          </w:p>
        </w:tc>
        <w:tc>
          <w:tcPr>
            <w:tcW w:type="dxa" w:w="7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Изолированный сегмент управления; доступ только через бастион; запрет прямого доступа к внутренним компонентам</w:t>
            </w:r>
          </w:p>
        </w:tc>
      </w:tr>
      <w:tr>
        <w:tc>
          <w:tcPr>
            <w:tcW w:type="dxa" w:w="2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Аудит</w:t>
            </w:r>
          </w:p>
        </w:tc>
        <w:tc>
          <w:tcPr>
            <w:tcW w:type="dxa" w:w="72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Неизменяемый аудит-трейл действий операторов и клиентов; централизованный сбор и долговременное хранение</w:t>
            </w:r>
          </w:p>
        </w:tc>
      </w:tr>
    </w:tbl>
    <w:p>
      <w:pPr>
        <w:pStyle w:val="Heading2"/>
      </w:pPr>
      <w:r>
        <w:t xml:space="preserve">6.2. Регуляторное соответствие (Казахстан)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НБРК / АРРФР. </w:t>
      </w:r>
      <w:r>
        <w:t xml:space="preserve">Соответствие требованиям к информационной безопасности и локализации данных для регулируемых клиентов финансового сектора.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PCI DSS. </w:t>
      </w:r>
      <w:r>
        <w:t xml:space="preserve">Сегмент, обрабатывающий платёжные данные, изолируется в отдельной зоне доступности / домене с ужесточённым контролем доступа и аудита; он не смешивается с общим пулом IaaS.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НУЦ РК и KalkanCrypt. </w:t>
      </w:r>
      <w:r>
        <w:t xml:space="preserve">Юридически значимые операции в портале (договоры, заявки, акты) подписываются квалифицированной электронной подписью через интеграцию с национальной инфраструктурой. Учитывается монопольное положение НУЦ РК при проектировании доверенных сервисов.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Локализация данных. </w:t>
      </w:r>
      <w:r>
        <w:t xml:space="preserve">Размещение и обработка данных регулируемых клиентов в пределах юрисдикции обеспечивается привязкой к зонам доступности на территории РК.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9C2A2A" w:sz="24"/>
              <w:bottom w:val="none"/>
              <w:right w:val="none"/>
            </w:tcBorders>
            <w:shd w:fill="F7ECEC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9C2A2A"/>
              </w:rPr>
              <w:t xml:space="preserve">Принцип изоляции регулируемых нагрузок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Общий IaaS и регулируемый (PCI / финсектор) сегмент логически и сетево разделены.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Каждый сегмент имеет собственные политики доступа, аудита и хранения.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Это упрощает прохождение аудитов: область оценки (scope) ограничена изолированным сегментом.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8. Мониторинг, наблюдаемость и SLA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Без полноценной наблюдаемости платформа гипермасштаба неуправляема. Мониторинг рассматривается как часть продакшена, а не вспомогательный инструмент, и охватывает оборудование, платформу и клиентский опыт.</w:t>
      </w:r>
    </w:p>
    <w:p>
      <w:pPr>
        <w:pStyle w:val="Heading2"/>
      </w:pPr>
      <w:r>
        <w:t xml:space="preserve">7.1. Контуры наблюдаемости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Метрики. </w:t>
      </w:r>
      <w:r>
        <w:t xml:space="preserve">Сбор показателей оборудования, гипервизоров, Ceph, сети, control plane и очередей сообщений в единую систему с историческим хранением и алертингом.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Логи. </w:t>
      </w:r>
      <w:r>
        <w:t xml:space="preserve">Централизованный сбор и индексация журналов (стек ELK/Elastic, уже используемый в вашей практике) с долговременным хранением для аудита и разбора инцидентов.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SIEM. </w:t>
      </w:r>
      <w:r>
        <w:t xml:space="preserve">Корреляция событий безопасности (Wazuh) с правилами по матрице угроз для раннего обнаружения атак.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Трассировка клиентского пути. </w:t>
      </w:r>
      <w:r>
        <w:t xml:space="preserve">Синтетические проверки полного сценария клиента (вход в портал, создание ресурса) как индикатор реального состояния услуги.</w:t>
      </w:r>
    </w:p>
    <w:p>
      <w:pPr>
        <w:pStyle w:val="Heading2"/>
      </w:pPr>
      <w:r>
        <w:t xml:space="preserve">7.2. Ключевые показатели и пороги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3360"/>
      </w:tblGrid>
      <w:tr>
        <w:trPr>
          <w:tblHeader/>
        </w:trP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Целевой порог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Действие при нарушении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Доступность API control plane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≥ 99,95 %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SEV-1, немедленная эскалация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Состояние Ceph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HEALTH_OK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SEV-2 при WARN, SEV-1 при ERR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Наполнение compute (CPU/RAM)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80 %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Запуск процедуры расширения ёмкости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Наполнение Ceph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&lt; 75 %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Планирование ввода узлов хранения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Глубина очередей RabbitMQ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 пределах базовой линии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Расследование при устойчивом росте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Задержка живой миграции</w:t>
            </w:r>
          </w:p>
        </w:tc>
        <w:tc>
          <w:tcPr>
            <w:tcW w:type="dxa" w:w="2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В пределах окна обслуживания</w:t>
            </w:r>
          </w:p>
        </w:tc>
        <w:tc>
          <w:tcPr>
            <w:tcW w:type="dxa" w:w="33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Пересмотр сетевой нагрузки</w:t>
            </w:r>
          </w:p>
        </w:tc>
      </w:tr>
    </w:tbl>
    <w:p>
      <w:pPr>
        <w:pStyle w:val="Heading2"/>
      </w:pPr>
      <w:r>
        <w:t xml:space="preserve">7.3. Соглашение об уровне услуг (SLA)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Классы услуг. </w:t>
      </w:r>
      <w:r>
        <w:t xml:space="preserve">SLA дифференцируется по классам (стандарт / повышенный / регулируемый) с разными показателями доступности, RPO и RTO.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Измеримость. </w:t>
      </w:r>
      <w:r>
        <w:t xml:space="preserve">Каждый пункт SLA привязан к конкретной метрике мониторинга; обязательства, которые нельзя измерить, в SLA не включаются.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Прозрачность. </w:t>
      </w:r>
      <w:r>
        <w:t xml:space="preserve">Клиент видит состояние услуги через статус-панель портала; инциденты публикуются по регламенту.</w:t>
      </w:r>
    </w:p>
    <w:p>
      <w:r>
        <w:br w:type="page"/>
      </w:r>
    </w:p>
    <w:p>
      <w:pPr>
        <w:pStyle w:val="Heading1"/>
      </w:pPr>
      <w:r>
        <w:t xml:space="preserve">9. Стратегия жизненного цикла на 15+ лет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Этот раздел отвечает на главный вопрос проекта: как система остаётся актуальной и безопасной полтора десятилетия, переживая смену оборудования, релизов и команды, без переписывания с нуля.</w:t>
      </w:r>
    </w:p>
    <w:p>
      <w:pPr>
        <w:pStyle w:val="Heading2"/>
      </w:pPr>
      <w:r>
        <w:t xml:space="preserve">8.1. Миграция между релизами платформы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OpenStack выпускает мажорные релизы каждые полгода; за 15 лет их сменится около тридцати. Чтобы не подвергать гипермасштаб рискованным обновлениям дважды в год, платформа синхронизируется на SLURP-релизах (Skip Level Upgrade Release Process): обновление выполняется раз в год прямым переходом с одного SLURP-релиза на следующий, а промежуточный не-SLURP релиз пропускается. Перед каждым обновлением API-контракт проверяется на стенде, а сам переход выполняется по одному компоненту и одной ячейке. Клиентский портал, завязанный на стабильный API, переживает эти миграции незаметно для клиента.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F3A5F" w:sz="24"/>
              <w:bottom w:val="none"/>
              <w:right w:val="none"/>
            </w:tcBorders>
            <w:shd w:fill="EEF3FA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</w:rPr>
              <w:t xml:space="preserve">Развязка релизного цикла платформы и портала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Платформа и портал обновляются по независимым графикам.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Перед обновлением платформы контракт API проверяется на стенде против текущей версии портала.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Несовместимые изменения API сопровождаются переходным периодом с поддержкой двух версий.</w:t>
            </w:r>
          </w:p>
        </w:tc>
      </w:tr>
    </w:tbl>
    <w:p>
      <w:pPr>
        <w:pStyle w:val="Heading2"/>
      </w:pPr>
      <w:r>
        <w:t xml:space="preserve">8.2. Сохранение знаний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Инфраструктура как код как документация. </w:t>
      </w:r>
      <w:r>
        <w:t xml:space="preserve">Актуальное состояние системы всегда отражено в репозитории; новый инженер понимает платформу из кода и истории изменений, а не из устных преданий.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Архитектурные решения. </w:t>
      </w:r>
      <w:r>
        <w:t xml:space="preserve">Значимые решения фиксируются с обоснованием (ADR), чтобы через годы было понятно «почему так сделано».</w:t>
      </w:r>
    </w:p>
    <w:p>
      <w:pPr>
        <w:pStyle w:val="ListParagraph"/>
        <w:numPr>
          <w:ilvl w:val="0"/>
          <w:numId w:val="2"/>
        </w:numPr>
        <w:spacing w:after="80" w:line="272"/>
        <w:jc w:val="both"/>
      </w:pPr>
      <w:r>
        <w:rPr>
          <w:b/>
          <w:bCs/>
        </w:rPr>
        <w:t xml:space="preserve">Runbook и регламенты. </w:t>
      </w:r>
      <w:r>
        <w:t xml:space="preserve">Эксплуатационные процедуры поддерживаются в актуальном состоянии и проходят регулярную проверку учениями.</w:t>
      </w:r>
    </w:p>
    <w:p>
      <w:pPr>
        <w:pStyle w:val="Heading2"/>
      </w:pPr>
      <w:r>
        <w:t xml:space="preserve">8.3. Управление устареванием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rPr>
          <w:tblHeader/>
        </w:trP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Риск устаревания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Стратегия смягчения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Конец поддержки оборудования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Плановые волны обновления; ввод нового поколения рядом со старым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Конец поддержки релиза ПО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Регулярные обновления в пределах поддерживаемых версий; никогда не отставать более чем на согласованный лаг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Уход ключевых специалистов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Знания в коде и регламентах; парная работа; отсутствие незаменимых ручных операций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Изменение регуляторики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Изолированные сегменты упрощают адаптацию; мониторинг изменений НБРК/АРРФР/НУЦ РК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Привязка к вендору</w:t>
            </w:r>
          </w:p>
        </w:tc>
        <w:tc>
          <w:tcPr>
            <w:tcW w:type="dxa" w:w="5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Опора на открытые стандарты и форматы; проверка переносимости при выборе компонентов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single" w:color="1E7B3C" w:sz="24"/>
              <w:bottom w:val="none"/>
              <w:right w:val="none"/>
            </w:tcBorders>
            <w:shd w:fill="EAF3EC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E7B3C"/>
              </w:rPr>
              <w:t xml:space="preserve">Главный инвариант 15-летнего горизонта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Меняется наполнение — оборудование, релизы, отдельные компоненты.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Остаётся неизменным контракт — клиентский API и предсказуемость услуги.</w:t>
            </w:r>
          </w:p>
          <w:p>
            <w:pPr>
              <w:spacing w:after="40" w:line="268"/>
            </w:pPr>
            <w:r>
              <w:rPr>
                <w:sz w:val="20"/>
                <w:szCs w:val="20"/>
              </w:rPr>
              <w:t xml:space="preserve">Пока эта развязка соблюдается, платформа продлевается, а не переписывается.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10. Реестр ключевых рисков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Реестр фиксирует риски, специфичные для гипермасштаба и долгого горизонта. Для каждого указаны влияние и мера снижения.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000"/>
        <w:gridCol w:w="3660"/>
      </w:tblGrid>
      <w:tr>
        <w:trPr>
          <w:tblHeader/>
        </w:trP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Риск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Влияние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Мера снижения</w:t>
            </w:r>
          </w:p>
        </w:tc>
      </w:tr>
      <w:t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Узкое место монолитного control plane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Деградация планирования на масштабе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Ячеистая архитектура cells v2 с самого начала</w:t>
            </w:r>
          </w:p>
        </w:tc>
      </w:tr>
      <w:t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Слишком большой домен отказа Ceph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Долгое восстановление, риск данных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Многокластерность по зонам, заполнение &lt; 75 %</w:t>
            </w:r>
          </w:p>
        </w:tc>
      </w:tr>
      <w:t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Дрейф конфигурации продакшена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Невоспроизводимость, скрытые сбои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Строгий IaC, запрет ручных изменений</w:t>
            </w:r>
          </w:p>
        </w:tc>
      </w:tr>
      <w:t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Несовместимость API при обновлении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Поломка клиентского портала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Проверка контракта на стенде, переходные периоды</w:t>
            </w:r>
          </w:p>
        </w:tc>
      </w:tr>
      <w:t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Смешение регулируемых и общих нагрузок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Провал аудита, штрафы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Изоляция PCI/финсектора в отдельном сегменте</w:t>
            </w:r>
          </w:p>
        </w:tc>
      </w:tr>
      <w:tr>
        <w:tc>
          <w:tcPr>
            <w:tcW w:type="dxa" w:w="2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Потеря экспертизы со временем</w:t>
            </w:r>
          </w:p>
        </w:tc>
        <w:tc>
          <w:tcPr>
            <w:tcW w:type="dxa" w:w="3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Рост времени реакции, ошибки</w:t>
            </w:r>
          </w:p>
        </w:tc>
        <w:tc>
          <w:tcPr>
            <w:tcW w:type="dxa" w:w="36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Знания в коде, ADR, регулярные учения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11. Дорожная карта внедрения</w:t>
      </w:r>
    </w:p>
    <w:p>
      <w:pPr>
        <w:spacing w:after="120" w:line="276"/>
        <w:jc w:val="both"/>
      </w:pPr>
      <w:r>
        <w:rPr>
          <w:b w:val="false"/>
          <w:bCs w:val="false"/>
          <w:i w:val="false"/>
          <w:iCs w:val="false"/>
        </w:rPr>
        <w:t xml:space="preserve">Высокоуровневая последовательность фаз от старта до промышленной эксплуатации. Длительность каждой фазы уточняется по результатам детального планирования и доступности оборудования.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4760"/>
        <w:gridCol w:w="3300"/>
      </w:tblGrid>
      <w:tr>
        <w:trPr>
          <w:tblHeader/>
        </w:trP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Фаза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Содержание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2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center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Результат фазы</w:t>
            </w:r>
          </w:p>
        </w:tc>
      </w:tr>
      <w:t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Фаза 1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Проектирование и подготовка: финализация архитектуры, BOM, сегмент управления, IaC-каркас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Утверждённый проект и готовая среда автоматизации</w:t>
            </w:r>
          </w:p>
        </w:tc>
      </w:tr>
      <w:t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Фаза 2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Фундамент: сеть spine-leaf, кластеры Ceph по зонам, приёмка слоёв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Работающий и проверенный фундамент</w:t>
            </w:r>
          </w:p>
        </w:tc>
      </w:tr>
      <w:t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Фаза 3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Платформа: control plane HA, ячейки, ввод compute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Функционирующая платформа IaaS</w:t>
            </w:r>
          </w:p>
        </w:tc>
      </w:tr>
      <w:t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Фаза 4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Портал и безопасность: Skyline, самообслуживание, KMS, аудит, комплаенс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Готовый клиентский контур с ИБ</w:t>
            </w:r>
          </w:p>
        </w:tc>
      </w:tr>
      <w:t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Фаза 5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Приёмка: нагрузочные и DR-испытания, акт ввода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Промышленная эксплуатация</w:t>
            </w:r>
          </w:p>
        </w:tc>
      </w:tr>
      <w:tr>
        <w:tc>
          <w:tcPr>
            <w:tcW w:type="dxa" w:w="1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Фаза 6</w:t>
            </w:r>
          </w:p>
        </w:tc>
        <w:tc>
          <w:tcPr>
            <w:tcW w:type="dxa" w:w="47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Эксплуатация и lifecycle: волны обновления, регламенты, учения</w:t>
            </w:r>
          </w:p>
        </w:tc>
        <w:tc>
          <w:tcPr>
            <w:tcW w:type="dxa" w:w="3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6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0" w:line="264"/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Устойчивая работа на горизонте 15+ лет</w:t>
            </w:r>
          </w:p>
        </w:tc>
      </w:tr>
    </w:tbl>
    <w:p>
      <w:pPr>
        <w:spacing w:after="120"/>
      </w:pPr>
      <w:r>
        <w:t xml:space="preserve"/>
      </w:r>
    </w:p>
    <w:p>
      <w:pPr>
        <w:pBdr>
          <w:bottom w:val="single" w:color="2E75B6" w:sz="6" w:space="1"/>
        </w:pBdr>
        <w:spacing w:after="120"/>
      </w:pPr>
      <w:r>
        <w:t xml:space="preserve"/>
      </w:r>
    </w:p>
    <w:p>
      <w:pPr>
        <w:spacing w:after="120" w:line="276"/>
        <w:jc w:val="both"/>
      </w:pPr>
      <w:r>
        <w:rPr>
          <w:b w:val="false"/>
          <w:bCs w:val="false"/>
          <w:i/>
          <w:iCs/>
          <w:sz w:val="20"/>
          <w:szCs w:val="20"/>
        </w:rPr>
        <w:t xml:space="preserve">Документ является проектной основой под ключ. Конкретные модели оборудования, версии компонентов и числовые параметры SLA уточняются на этапе детального проектирования с учётом доступности оборудования и актуальных требований регуляторов Республики Казахстан на момент развёртывания.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BBBBB" w:sz="4" w:space="2"/>
      </w:pBdr>
      <w:jc w:val="center"/>
    </w:pPr>
    <w:r>
      <w:rPr>
        <w:color w:val="888888"/>
        <w:sz w:val="16"/>
        <w:szCs w:val="16"/>
      </w:rPr>
      <w:t xml:space="preserve">Страница </w:t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6"/>
        <w:szCs w:val="16"/>
      </w:rPr>
      <w:t xml:space="preserve"> из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BBBBB" w:sz="4" w:space="2"/>
      </w:pBdr>
      <w:tabs>
        <w:tab w:val="right" w:pos="9360"/>
      </w:tabs>
    </w:pPr>
    <w:r>
      <w:rPr>
        <w:color w:val="888888"/>
        <w:sz w:val="16"/>
        <w:szCs w:val="16"/>
      </w:rPr>
      <w:t xml:space="preserve">Проект ввода в эксплуатацию IaaS</w:t>
    </w:r>
    <w:r>
      <w:rPr>
        <w:color w:val="888888"/>
        <w:sz w:val="16"/>
        <w:szCs w:val="16"/>
      </w:rPr>
      <w:t xml:space="preserve">	Конфиденциально ·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  <w:lvl w:ilvl="1" w15:tentative="1">
      <w:start w:val="1"/>
      <w:numFmt w:val="bullet"/>
      <w:lvlText w:val="–"/>
      <w:lvlJc w:val="left"/>
      <w:pPr>
        <w:ind w:left="104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8" w:space="4"/>
      </w:pBdr>
      <w:spacing w:after="16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5B6"/>
      <w:sz w:val="25"/>
      <w:szCs w:val="25"/>
    </w:rPr>
  </w:style>
  <w:style w:type="paragraph" w:styleId="Heading3">
    <w:name w:val="Heading 3"/>
    <w:basedOn w:val="Normal"/>
    <w:next w:val="Normal"/>
    <w:qFormat/>
    <w:pPr>
      <w:spacing w:after="80" w:before="140"/>
      <w:outlineLvl w:val="2"/>
    </w:pPr>
    <w:rPr>
      <w:rFonts w:ascii="Arial" w:cs="Arial" w:eastAsia="Arial" w:hAnsi="Arial"/>
      <w:b/>
      <w:bCs/>
      <w:color w:val="1F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ввода в промышленную эксплуатацию IaaS</dc:title>
  <dc:creator>Облачная платформа IaaS — проектный офис</dc:creator>
  <cp:lastModifiedBy>Un-named</cp:lastModifiedBy>
  <cp:revision>1</cp:revision>
  <dcterms:created xsi:type="dcterms:W3CDTF">2026-06-10T04:00:14.161Z</dcterms:created>
  <dcterms:modified xsi:type="dcterms:W3CDTF">2026-06-10T04:00:14.161Z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