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Криптография и управление ключами — Сценарий В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Без обязательного HSM · допустимые альтернативы · ключи у клиента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3 / 4 (no-HSM)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PCI-STD-03-04-CRYPTO-V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Security Officer (оператор) / владелец ключей (клиент)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Защита CHD без HSM; ключи у клиента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 и сценарий</w:t>
      </w:r>
    </w:p>
    <w:p>
      <w:pPr>
        <w:spacing w:after="120"/>
      </w:pPr>
      <w:r>
        <w:t xml:space="preserve">Документ описывает криптографическую архитектуру и управление ключами в конфигурации, где выделенный аппаратный модуль безопасности (HSM) НЕ используется. Защита хранимого PAN обеспечивается допустимыми по PCI DSS альтернативными механизмами. Ключами управляет клиент-тенант. Обеспечивает соответствие Требованиям 3 и 4 PCI DSS v4.0.1.</w:t>
      </w:r>
    </w:p>
    <w:p>
      <w:pPr>
        <w:spacing w:after="120"/>
      </w:pPr>
      <w:r>
        <w:rPr>
          <w:b/>
          <w:bCs/>
        </w:rPr>
        <w:t xml:space="preserve">СЦЕНАРИЙ В — без обязательного HSM. PCI DSS не требует именно HSM; стандарт допускает иные механизмы, делающие хранимый PAN нечитаемым (Req. 3.5.1). Ключи (при их наличии) находятся у клиента.</w:t>
      </w:r>
    </w:p>
    <w:p>
      <w:pPr>
        <w:spacing w:after="120"/>
      </w:pPr>
      <w:r>
        <w:rPr>
          <w:b/>
          <w:bCs/>
        </w:rPr>
        <w:t xml:space="preserve">ВАЖНО: «без HSM» не означает «без защиты ключей». При программном хранении ключей требования 3.6/3.7 применяются в полном объёме и требуют особо тщательной реализации (изоляция ключей от данных, KEK/DEK, контроль доступа), поскольку отсутствует аппаратная граница защиты.</w:t>
      </w:r>
    </w:p>
    <w:p>
      <w:pPr>
        <w:pStyle w:val="Heading1"/>
      </w:pPr>
      <w:r>
        <w:t xml:space="preserve">2. Область действия</w:t>
      </w:r>
    </w:p>
    <w:p>
      <w:pPr>
        <w:spacing w:after="120"/>
      </w:pPr>
      <w:r>
        <w:t xml:space="preserve">Механизмы защиты CHD без HSM: токенизация/усечение, программное шифрование с программным управлением ключами (software KMS), нативное шифрование БД (TDE) и шифрование дисков/томов (LUKS и аналоги), а также каналы передачи (TLS).</w:t>
      </w:r>
    </w:p>
    <w:p>
      <w:pPr>
        <w:pStyle w:val="Heading1"/>
      </w:pPr>
      <w:r>
        <w:t xml:space="preserve">3. Допустимые механизмы защиты хранимого PAN (Req. 3.5.1)</w:t>
      </w:r>
    </w:p>
    <w:p>
      <w:pPr>
        <w:spacing w:after="120"/>
      </w:pPr>
      <w:r>
        <w:t xml:space="preserve">PAN при хранении делается нечитаемым одним или комбинацией следующих подходов. Предпочтение — механизмам, максимально снижающим охват.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200"/>
        <w:gridCol w:w="25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Механизм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Эффект на охват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Токенизация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PAN заменяется на необратимый вне vault токен; сам PAN не хранится в прикладных системах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Максимальное снижение охвата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Усечение (truncation)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Хранятся только первые 6 / последние 4 цифры; полный PAN не хранится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Высокое снижение (нет полного PAN)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Программное шифрование + software KMS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Стойкое шифрование (AES-256); ключи в программном KMS, защищены KEK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Охват сохраняется; строгие 3.6/3.7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Нативное шифрование БД (TDE)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Прозрачное шифрование данных на уровне СУБД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Защита at-rest; управление ключами критично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диска/тома (LUKS)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на уровне ОС/тома гостя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Защищает носитель; не заменяет 3.5.1 на уровне данных</w:t>
            </w:r>
          </w:p>
        </w:tc>
      </w:tr>
    </w:tbl>
    <w:p>
      <w:pPr>
        <w:spacing w:after="120"/>
      </w:pPr>
      <w:r>
        <w:rPr>
          <w:i/>
          <w:iCs/>
        </w:rPr>
        <w:t xml:space="preserve">Примечание: шифрование диска/тома (LUKS) защищает носитель, но само по себе может не удовлетворять 3.5.1 для логического доступа к данным — применяется в сочетании с шифрованием на уровне БД/приложения или токенизацией.</w:t>
      </w:r>
    </w:p>
    <w:p>
      <w:pPr>
        <w:pStyle w:val="Heading1"/>
      </w:pPr>
      <w:r>
        <w:t xml:space="preserve">4. Иерархия предпочтений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Токенизация или усечение — приоритет: устраняют хранение полного PAN и максимально сокращают охват PCI DSS.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Программное шифрование с надёжно изолированным управлением ключами — при необходимости хранить полный PAN.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Нативное TDE / шифрование тома — как дополнительный слой, не как единственная мера для 3.5.1.</w:t>
      </w:r>
    </w:p>
    <w:p>
      <w:pPr>
        <w:pStyle w:val="Heading1"/>
      </w:pPr>
      <w:r>
        <w:t xml:space="preserve">5. Управление ключами без HSM (Req. 3.6 / 3.7) — клиент</w:t>
      </w:r>
    </w:p>
    <w:p>
      <w:pPr>
        <w:spacing w:after="120"/>
      </w:pPr>
      <w:r>
        <w:t xml:space="preserve">Если применяется шифрование (а не только токенизация/усечение), управление ключами выполняет клиент в программном KMS со следующими обязательными мерами: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Ключи шифрования данных (DEK) защищаются ключами-шифрования-ключей (KEK); KEK хранится отдельно от DEK и от зашифрованных данных (Req. 3.6.1 / 3.7.3).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Доступ к ключам ограничен минимально необходимым числом кастодианов (Req. 3.6.1.2).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Генерация стойких ключей (Req. 3.7.1); защищённое распространение (3.7.2).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Хранение в наименьшем числе форм и мест (Req. 3.6.1.1).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Ротация по cryptoperiod (Req. 3.7.4); вывод/замена при компрометации (3.7.5).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Ручные операции с ключами — split-knowledge и dual-control (Req. 3.7.6).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Кастодианы подтверждают обязанности письменно (Req. 3.7.8).</w:t>
      </w:r>
    </w:p>
    <w:p>
      <w:pPr>
        <w:spacing w:after="120"/>
      </w:pPr>
      <w:r>
        <w:rPr>
          <w:b/>
          <w:bCs/>
        </w:rPr>
        <w:t xml:space="preserve">Поскольку аппаратная граница HSM отсутствует, особое внимание — изоляции программного хранилища ключей: отдельный сервис/сегмент, строгий контроль доступа, защита от выгрузки ключей вместе с данными или бэкапами.</w:t>
      </w:r>
    </w:p>
    <w:p>
      <w:pPr>
        <w:pStyle w:val="Heading1"/>
      </w:pPr>
      <w:r>
        <w:t xml:space="preserve">6. Токенизация (если применяется)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Token vault и процесс детокенизации изолированы; обратное преобразование токен→PAN доступно только авторизованным компонентам.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Системы, оперирующие только токенами, могут выводиться из охвата при корректной изоляции vault.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Криптографические ключи токенизации (если используются) защищаются по разделу 5.</w:t>
      </w:r>
    </w:p>
    <w:p>
      <w:pPr>
        <w:pStyle w:val="Heading1"/>
      </w:pPr>
      <w:r>
        <w:t xml:space="preserve">7. Разграничение ответственности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980"/>
        <w:gridCol w:w="298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Контроль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Оператор IaaS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Клиент-тенант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Выбор механизма защиты PAN (3.5.1)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Токенизация / усечение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Программное шифрование + KMS (3.6/3.7)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 ключами, кастодианы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Полностью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тома хранилища at-rest (3.5)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 (том)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TLS для каналов CHD (4.2.1)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Периметр/инфра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Приложение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Изоляция сегмента ключей/vault (сеть)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 (сеть)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Логика приложения</w:t>
            </w:r>
          </w:p>
        </w:tc>
      </w:tr>
    </w:tbl>
    <w:p>
      <w:pPr>
        <w:pStyle w:val="Heading1"/>
      </w:pPr>
      <w:r>
        <w:t xml:space="preserve">8. Защита данных при передаче (Req. 4)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CHD по открытым сетям — только TLS 1.2+ (Req. 4.2.1).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Инвентарь доверенных ключей/сертификатов (Req. 4.2.1.1).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PAN не передаётся незащищёнными каналами обмена сообщениями (Req. 4.2.2).</w:t>
      </w:r>
    </w:p>
    <w:p>
      <w:pPr>
        <w:pStyle w:val="Heading1"/>
      </w:pPr>
      <w:r>
        <w:t xml:space="preserve">9. Криптоархитектура (Req. 3.6 / 12.3.3)</w:t>
      </w:r>
    </w:p>
    <w:p>
      <w:pPr>
        <w:spacing w:after="120"/>
      </w:pPr>
      <w:r>
        <w:t xml:space="preserve">Клиент документирует и ежегодно пересматривает криптоархитектуру: применяемые механизмы (токенизация/шифрование), алгоритмы, расположение и защиту программного хранилища ключей, cryptoperiod, кастодианов. Оператор требует наличия этой документации как условие размещения регулируемой нагрузки.</w:t>
      </w:r>
    </w:p>
    <w:p>
      <w:pPr>
        <w:pStyle w:val="Heading1"/>
      </w:pPr>
      <w:r>
        <w:t xml:space="preserve">10. Реестр механизмов и ключей (ведёт клиент)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2280"/>
        <w:gridCol w:w="208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Данные/назначение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Механизм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Cryptoperiod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Ответственный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PAN в БД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[токенизация/TDE/прогр. шифр.]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[срок/н/п]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[роль клиента]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DEK (если шифр.)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[AES-256]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[срок]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[роль клиента]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KEK (если шифр.)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[—]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[срок]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[роль клиента]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11. Связь с миграцией VMware → Virtuozzo</w:t>
      </w:r>
    </w:p>
    <w:p>
      <w:pPr>
        <w:spacing w:after="120"/>
      </w:pPr>
      <w:r>
        <w:t xml:space="preserve">Отсутствие HSM не меняется при комплексной миграции стека VMware (vSphere + vCloud Director + NSX-T). Оператор переносит шифрование тома at-rest на Virtuozzo Storage, сегментацию — на VDOM FortiGate + VLAN Virtuozzo (взамен NSX-T). Клиент подтверждает, что применяемые механизмы (токенизация/программное шифрование/TDE) корректно функционируют на новой платформе. Изоляция сегмента ключей/vault подтверждается повторным тестом сегментации (Req. 11.4.5).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Криптография и управление ключами — Сценарий В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2026-06-30T11:49:33.207Z</dcterms:created>
  <dcterms:modified xsi:type="dcterms:W3CDTF">2026-06-30T11:49:33.207Z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