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400"/>
        <w:jc w:val="center"/>
      </w:pPr>
      <w:r>
        <w:rPr>
          <w:rFonts w:ascii="Calibri" w:cs="Calibri" w:eastAsia="Calibri" w:hAnsi="Calibri"/>
          <w:b/>
          <w:bCs/>
          <w:color w:val="C08A2E"/>
          <w:spacing w:val="40"/>
          <w:sz w:val="30"/>
          <w:szCs w:val="30"/>
        </w:rPr>
        <w:t xml:space="preserve">АРХИТЕКТУРА И ИНСТАЛЛЯЦИЯ</w:t>
      </w:r>
    </w:p>
    <w:p>
      <w:pPr>
        <w:spacing w:after="0" w:before="120"/>
        <w:jc w:val="center"/>
      </w:pPr>
      <w:r>
        <w:rPr>
          <w:rFonts w:ascii="Calibri" w:cs="Calibri" w:eastAsia="Calibri" w:hAnsi="Calibri"/>
          <w:b/>
          <w:bCs/>
          <w:color w:val="1F2A44"/>
          <w:sz w:val="64"/>
          <w:szCs w:val="64"/>
        </w:rPr>
        <w:t xml:space="preserve">Кластер Proxmox VE</w:t>
      </w:r>
    </w:p>
    <w:p>
      <w:pPr>
        <w:spacing w:after="0" w:before="40"/>
        <w:jc w:val="center"/>
      </w:pPr>
      <w:r>
        <w:rPr>
          <w:rFonts w:ascii="Calibri" w:cs="Calibri" w:eastAsia="Calibri" w:hAnsi="Calibri"/>
          <w:color w:val="3B5279"/>
          <w:sz w:val="26"/>
          <w:szCs w:val="26"/>
        </w:rPr>
        <w:t xml:space="preserve">Ceph / FC-гибрид · SDN по модели VMware vDS</w:t>
      </w:r>
    </w:p>
    <w:p>
      <w:pPr>
        <w:spacing w:after="600" w:before="60"/>
        <w:jc w:val="center"/>
      </w:pP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Высокая доступность · Идемпотентная автоматизация</w:t>
      </w:r>
    </w:p>
    <w:p>
      <w:pPr>
        <w:pBdr>
          <w:top w:val="single" w:color="C08A2E" w:sz="8" w:space="8"/>
        </w:pBdr>
        <w:spacing w:after="40"/>
        <w:jc w:val="center"/>
      </w:pPr>
      <w:r>
        <w:rPr>
          <w:rFonts w:ascii="Calibri" w:cs="Calibri" w:eastAsia="Calibri" w:hAnsi="Calibri"/>
          <w:b/>
          <w:bCs/>
          <w:color w:val="2E3E5C"/>
          <w:sz w:val="22"/>
          <w:szCs w:val="22"/>
        </w:rPr>
        <w:t xml:space="preserve">Технический архитектурный документ</w:t>
      </w:r>
    </w:p>
    <w:p>
      <w:pPr>
        <w:spacing w:after="0"/>
        <w:jc w:val="center"/>
      </w:pPr>
      <w:r>
        <w:rPr>
          <w:rFonts w:ascii="Calibri" w:cs="Calibri" w:eastAsia="Calibri" w:hAnsi="Calibri"/>
          <w:color w:val="5A6B85"/>
          <w:sz w:val="20"/>
          <w:szCs w:val="20"/>
        </w:rPr>
        <w:t xml:space="preserve">Версия 1.0  ·  Дата: 13.07.2026</w:t>
      </w:r>
    </w:p>
    <w:p>
      <w:r>
        <w:br w:type="page"/>
      </w:r>
    </w:p>
    <w:p>
      <w:pPr>
        <w:sectPr>
          <w:pgSz w:w="12240" w:h="15840" w:orient="portrait"/>
          <w:pgMar w:top="1200" w:right="1440" w:bottom="1200" w:left="1440" w:header="708" w:footer="708" w:gutter="0"/>
          <w:pgNumType/>
          <w:docGrid w:linePitch="360"/>
        </w:sectPr>
      </w:pPr>
    </w:p>
    <w:p>
      <w:pPr>
        <w:pStyle w:val="Heading1"/>
        <w:pBdr>
          <w:bottom w:val="single" w:color="C08A2E" w:sz="12" w:space="4"/>
        </w:pBdr>
        <w:spacing w:after="140" w:before="320"/>
      </w:pPr>
      <w:r>
        <w:rPr>
          <w:rFonts w:ascii="Calibri" w:cs="Calibri" w:eastAsia="Calibri" w:hAnsi="Calibri"/>
          <w:b/>
          <w:bCs/>
          <w:color w:val="1F2A44"/>
          <w:sz w:val="30"/>
          <w:szCs w:val="30"/>
        </w:rPr>
        <w:t xml:space="preserve">Содержание</w:t>
      </w:r>
    </w:p>
    <w:sdt>
      <w:sdtPr>
        <w:alias w:val="Оглавление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pBdr>
          <w:bottom w:val="single" w:color="C08A2E" w:sz="12" w:space="4"/>
        </w:pBdr>
        <w:spacing w:after="140" w:before="320"/>
      </w:pPr>
      <w:r>
        <w:rPr>
          <w:rFonts w:ascii="Calibri" w:cs="Calibri" w:eastAsia="Calibri" w:hAnsi="Calibri"/>
          <w:b/>
          <w:bCs/>
          <w:color w:val="1F2A44"/>
          <w:sz w:val="30"/>
          <w:szCs w:val="30"/>
        </w:rPr>
        <w:t xml:space="preserve">1. Резюме и назначение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Настоящий документ описывает эталонную архитектуру и процедуру автоматизированного развёртывания production-кластера Proxmox VE 8/9 с гибким выбором модели хранения данных и программно-определяемой сетью, воспроизводящей операционную модель VMware vSphere Distributed Switch (vDS). Документ сопровождается комплектом идемпотентных bash-скриптов, нумерация которых соответствует разделам пошаговой инсталляции.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Ключевая цель — предоставить организации самодостаточную платформу виртуализации без внешних зависимостей и лицензионных ограничений VMware, сохранив привычные операционные паттерны: распределённый коммутатор, распределённые port-group, высокую доступность и живую миграцию.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1.1. Что покрывает решение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sz w:val="21"/>
          <w:szCs w:val="21"/>
        </w:rPr>
        <w:t xml:space="preserve">Сборка кластера Corosync с резервированным кольцом (ring0/ring1) и опциональным QDevice-арбитром.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sz w:val="21"/>
          <w:szCs w:val="21"/>
        </w:rPr>
        <w:t xml:space="preserve">Три модели хранилища на выбор: гиперконвергентный Ceph (SDS), внешний FC/SAN-массив (shared LVM поверх multipath), либо гибрид обоих.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sz w:val="21"/>
          <w:szCs w:val="21"/>
        </w:rPr>
        <w:t xml:space="preserve">SDN по модели vDS: зоны (≈ vDS), VNet-ы (≈ distributed port-group), subnet-ы (≈ встроенный IPAM/anycast-шлюз), с поддержкой VLAN, VXLAN и BGP-EVPN.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sz w:val="21"/>
          <w:szCs w:val="21"/>
        </w:rPr>
        <w:t xml:space="preserve">High Availability с автоматическим фенсингом и восстановлением ВМ на исправных узлах.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sz w:val="21"/>
          <w:szCs w:val="21"/>
        </w:rPr>
        <w:t xml:space="preserve">Постинсталляционная валидация и управляемый откат для лабораторных пересборок.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1.2. Соответствие концепций VMware → Proxmox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Таблица ниже фиксирует терминологическое соответствие, на котором построена сетевая модель решения.</w:t>
      </w:r>
    </w:p>
    <w:tbl>
      <w:tblPr>
        <w:tblW w:type="dxa" w:w="9360"/>
        <w:tblBorders>
          <w:top w:val="single" w:color="C7CFDD" w:sz="2"/>
          <w:left w:val="single" w:color="C7CFDD" w:sz="2"/>
          <w:bottom w:val="single" w:color="C7CFDD" w:sz="2"/>
          <w:right w:val="single" w:color="C7CFDD" w:sz="2"/>
          <w:insideH w:val="single" w:color="D9DFEA" w:sz="1"/>
          <w:insideV w:val="single" w:color="D9DFEA" w:sz="1"/>
        </w:tblBorders>
      </w:tblPr>
      <w:tblGrid>
        <w:gridCol w:w="3200"/>
        <w:gridCol w:w="2600"/>
        <w:gridCol w:w="3560"/>
      </w:tblGrid>
      <w:tr>
        <w:trPr>
          <w:tblHeader/>
        </w:trPr>
        <w:tc>
          <w:tcPr>
            <w:tcW w:type="dxa" w:w="3200"/>
            <w:shd w:fill="1F2A44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VMware vSphere / NSX</w:t>
            </w:r>
          </w:p>
        </w:tc>
        <w:tc>
          <w:tcPr>
            <w:tcW w:type="dxa" w:w="2600"/>
            <w:shd w:fill="1F2A44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Proxmox VE</w:t>
            </w:r>
          </w:p>
        </w:tc>
        <w:tc>
          <w:tcPr>
            <w:tcW w:type="dxa" w:w="3560"/>
            <w:shd w:fill="1F2A44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Комментарий</w:t>
            </w:r>
          </w:p>
        </w:tc>
      </w:tr>
      <w:tr>
        <w:tc>
          <w:tcPr>
            <w:tcW w:type="dxa" w:w="32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Distributed Switch (vDS)</w:t>
            </w:r>
          </w:p>
        </w:tc>
        <w:tc>
          <w:tcPr>
            <w:tcW w:type="dxa" w:w="26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SDN Zone</w:t>
            </w:r>
          </w:p>
        </w:tc>
        <w:tc>
          <w:tcPr>
            <w:tcW w:type="dxa" w:w="35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Общий на весь кластер коммутатор</w:t>
            </w:r>
          </w:p>
        </w:tc>
      </w:tr>
      <w:tr>
        <w:tc>
          <w:tcPr>
            <w:tcW w:type="dxa" w:w="320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Distributed Port Group</w:t>
            </w:r>
          </w:p>
        </w:tc>
        <w:tc>
          <w:tcPr>
            <w:tcW w:type="dxa" w:w="260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VNet</w:t>
            </w:r>
          </w:p>
        </w:tc>
        <w:tc>
          <w:tcPr>
            <w:tcW w:type="dxa" w:w="356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VLAN tag или VXLAN VNI</w:t>
            </w:r>
          </w:p>
        </w:tc>
      </w:tr>
      <w:tr>
        <w:tc>
          <w:tcPr>
            <w:tcW w:type="dxa" w:w="32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dvUplink / uplink PG</w:t>
            </w:r>
          </w:p>
        </w:tc>
        <w:tc>
          <w:tcPr>
            <w:tcW w:type="dxa" w:w="26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vmbr1 (LACP bond)</w:t>
            </w:r>
          </w:p>
        </w:tc>
        <w:tc>
          <w:tcPr>
            <w:tcW w:type="dxa" w:w="35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Физический аплинк switch-а</w:t>
            </w:r>
          </w:p>
        </w:tc>
      </w:tr>
      <w:tr>
        <w:tc>
          <w:tcPr>
            <w:tcW w:type="dxa" w:w="320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NSX overlay segment</w:t>
            </w:r>
          </w:p>
        </w:tc>
        <w:tc>
          <w:tcPr>
            <w:tcW w:type="dxa" w:w="260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VXLAN Zone + VNet</w:t>
            </w:r>
          </w:p>
        </w:tc>
        <w:tc>
          <w:tcPr>
            <w:tcW w:type="dxa" w:w="356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L2 поверх L3 (overlay)</w:t>
            </w:r>
          </w:p>
        </w:tc>
      </w:tr>
      <w:tr>
        <w:tc>
          <w:tcPr>
            <w:tcW w:type="dxa" w:w="32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NSX Tier-0/Tier-1 GW</w:t>
            </w:r>
          </w:p>
        </w:tc>
        <w:tc>
          <w:tcPr>
            <w:tcW w:type="dxa" w:w="26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EVPN Zone + Subnet</w:t>
            </w:r>
          </w:p>
        </w:tc>
        <w:tc>
          <w:tcPr>
            <w:tcW w:type="dxa" w:w="35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Anycast GW, exit-nodes</w:t>
            </w:r>
          </w:p>
        </w:tc>
      </w:tr>
      <w:tr>
        <w:tc>
          <w:tcPr>
            <w:tcW w:type="dxa" w:w="320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vSphere HA</w:t>
            </w:r>
          </w:p>
        </w:tc>
        <w:tc>
          <w:tcPr>
            <w:tcW w:type="dxa" w:w="260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PVE HA Manager</w:t>
            </w:r>
          </w:p>
        </w:tc>
        <w:tc>
          <w:tcPr>
            <w:tcW w:type="dxa" w:w="356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Фенсинг + рестарт ВМ</w:t>
            </w:r>
          </w:p>
        </w:tc>
      </w:tr>
      <w:tr>
        <w:tc>
          <w:tcPr>
            <w:tcW w:type="dxa" w:w="32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vMotion</w:t>
            </w:r>
          </w:p>
        </w:tc>
        <w:tc>
          <w:tcPr>
            <w:tcW w:type="dxa" w:w="26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Live Migration</w:t>
            </w:r>
          </w:p>
        </w:tc>
        <w:tc>
          <w:tcPr>
            <w:tcW w:type="dxa" w:w="35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Требует shared/distributed storage</w:t>
            </w:r>
          </w:p>
        </w:tc>
      </w:tr>
      <w:tr>
        <w:tc>
          <w:tcPr>
            <w:tcW w:type="dxa" w:w="320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vSAN</w:t>
            </w:r>
          </w:p>
        </w:tc>
        <w:tc>
          <w:tcPr>
            <w:tcW w:type="dxa" w:w="260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Ceph RBD</w:t>
            </w:r>
          </w:p>
        </w:tc>
        <w:tc>
          <w:tcPr>
            <w:tcW w:type="dxa" w:w="356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Программно-определяемое хранилище</w:t>
            </w:r>
          </w:p>
        </w:tc>
      </w:tr>
      <w:tr>
        <w:tc>
          <w:tcPr>
            <w:tcW w:type="dxa" w:w="32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VMFS on FC LUN</w:t>
            </w:r>
          </w:p>
        </w:tc>
        <w:tc>
          <w:tcPr>
            <w:tcW w:type="dxa" w:w="26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shared LVM on multipath</w:t>
            </w:r>
          </w:p>
        </w:tc>
        <w:tc>
          <w:tcPr>
            <w:tcW w:type="dxa" w:w="35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Внешний массив по FC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C08A2E" w:sz="12" w:space="4"/>
        </w:pBdr>
        <w:spacing w:after="140" w:before="320"/>
      </w:pPr>
      <w:r>
        <w:rPr>
          <w:rFonts w:ascii="Calibri" w:cs="Calibri" w:eastAsia="Calibri" w:hAnsi="Calibri"/>
          <w:b/>
          <w:bCs/>
          <w:color w:val="1F2A44"/>
          <w:sz w:val="30"/>
          <w:szCs w:val="30"/>
        </w:rPr>
        <w:t xml:space="preserve">2. Обзор архитектуры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2.1. Логическая топология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Кластер строится минимум из трёх узлов для обеспечения кворума Corosync и, при использовании Ceph, отказоустойчивого размещения реплик (size=3, min_size=2). Каждый узел несёт три логические сетевые плоскости, физически разнесённые по отдельным LACP-бондам.</w:t>
      </w:r>
    </w:p>
    <w:p>
      <w:pPr>
        <w:pBdr>
          <w:top w:val="single" w:color="D9DFEA" w:sz="2" w:space="2"/>
          <w:left w:val="single" w:color="C08A2E" w:sz="18" w:space="6"/>
        </w:pBdr>
        <w:shd w:fill="F4F6FA" w:color="auto" w:val="clear"/>
        <w:spacing w:after="0" w:line="240"/>
      </w:pPr>
      <w:r>
        <w:rPr>
          <w:rFonts w:ascii="Consolas" w:cs="Consolas" w:eastAsia="Consolas" w:hAnsi="Consolas"/>
          <w:color w:val="1A2B45"/>
          <w:sz w:val="18"/>
          <w:szCs w:val="18"/>
        </w:rPr>
        <w:t xml:space="preserve">                        ┌─────────────────────────────────────────┐</w:t>
      </w:r>
    </w:p>
    <w:p>
      <w:pPr>
        <w:pBdr>
          <w:left w:val="single" w:color="C08A2E" w:sz="18" w:space="6"/>
        </w:pBdr>
        <w:shd w:fill="F4F6FA" w:color="auto" w:val="clear"/>
        <w:spacing w:after="0" w:line="240"/>
      </w:pPr>
      <w:r>
        <w:rPr>
          <w:rFonts w:ascii="Consolas" w:cs="Consolas" w:eastAsia="Consolas" w:hAnsi="Consolas"/>
          <w:color w:val="1A2B45"/>
          <w:sz w:val="18"/>
          <w:szCs w:val="18"/>
        </w:rPr>
        <w:t xml:space="preserve">                        │            КЛАСТЕР PROXMOX VE            │</w:t>
      </w:r>
    </w:p>
    <w:p>
      <w:pPr>
        <w:pBdr>
          <w:left w:val="single" w:color="C08A2E" w:sz="18" w:space="6"/>
        </w:pBdr>
        <w:shd w:fill="F4F6FA" w:color="auto" w:val="clear"/>
        <w:spacing w:after="0" w:line="240"/>
      </w:pPr>
      <w:r>
        <w:rPr>
          <w:rFonts w:ascii="Consolas" w:cs="Consolas" w:eastAsia="Consolas" w:hAnsi="Consolas"/>
          <w:color w:val="1A2B45"/>
          <w:sz w:val="18"/>
          <w:szCs w:val="18"/>
        </w:rPr>
        <w:t xml:space="preserve">   ┌────────────┐       │  ┌─────────┐  ┌─────────┐  ┌─────────┐  │</w:t>
      </w:r>
    </w:p>
    <w:p>
      <w:pPr>
        <w:pBdr>
          <w:left w:val="single" w:color="C08A2E" w:sz="18" w:space="6"/>
        </w:pBdr>
        <w:shd w:fill="F4F6FA" w:color="auto" w:val="clear"/>
        <w:spacing w:after="0" w:line="240"/>
      </w:pPr>
      <w:r>
        <w:rPr>
          <w:rFonts w:ascii="Consolas" w:cs="Consolas" w:eastAsia="Consolas" w:hAnsi="Consolas"/>
          <w:color w:val="1A2B45"/>
          <w:sz w:val="18"/>
          <w:szCs w:val="18"/>
        </w:rPr>
        <w:t xml:space="preserve">   │  Клиенты/  │◄──────┼─►│ pve-n1  │  │ pve-n2  │  │ pve-n3  │  │</w:t>
      </w:r>
    </w:p>
    <w:p>
      <w:pPr>
        <w:pBdr>
          <w:left w:val="single" w:color="C08A2E" w:sz="18" w:space="6"/>
        </w:pBdr>
        <w:shd w:fill="F4F6FA" w:color="auto" w:val="clear"/>
        <w:spacing w:after="0" w:line="240"/>
      </w:pPr>
      <w:r>
        <w:rPr>
          <w:rFonts w:ascii="Consolas" w:cs="Consolas" w:eastAsia="Consolas" w:hAnsi="Consolas"/>
          <w:color w:val="1A2B45"/>
          <w:sz w:val="18"/>
          <w:szCs w:val="18"/>
        </w:rPr>
        <w:t xml:space="preserve">   │   L3-сеть  │ vmbr0 │  │ MON/MGR │  │ MON/MGR │  │ MON     │  │</w:t>
      </w:r>
    </w:p>
    <w:p>
      <w:pPr>
        <w:pBdr>
          <w:left w:val="single" w:color="C08A2E" w:sz="18" w:space="6"/>
        </w:pBdr>
        <w:shd w:fill="F4F6FA" w:color="auto" w:val="clear"/>
        <w:spacing w:after="0" w:line="240"/>
      </w:pPr>
      <w:r>
        <w:rPr>
          <w:rFonts w:ascii="Consolas" w:cs="Consolas" w:eastAsia="Consolas" w:hAnsi="Consolas"/>
          <w:color w:val="1A2B45"/>
          <w:sz w:val="18"/>
          <w:szCs w:val="18"/>
        </w:rPr>
        <w:t xml:space="preserve">   └────────────┘       │  │  OSDx2  │  │  OSDx2  │  │  OSDx2  │  │</w:t>
      </w:r>
    </w:p>
    <w:p>
      <w:pPr>
        <w:pBdr>
          <w:left w:val="single" w:color="C08A2E" w:sz="18" w:space="6"/>
        </w:pBdr>
        <w:shd w:fill="F4F6FA" w:color="auto" w:val="clear"/>
        <w:spacing w:after="0" w:line="240"/>
      </w:pPr>
      <w:r>
        <w:rPr>
          <w:rFonts w:ascii="Consolas" w:cs="Consolas" w:eastAsia="Consolas" w:hAnsi="Consolas"/>
          <w:color w:val="1A2B45"/>
          <w:sz w:val="18"/>
          <w:szCs w:val="18"/>
        </w:rPr>
        <w:t xml:space="preserve">                        │  └────┬────┘  └────┬────┘  └────┬────┘  │</w:t>
      </w:r>
    </w:p>
    <w:p>
      <w:pPr>
        <w:pBdr>
          <w:left w:val="single" w:color="C08A2E" w:sz="18" w:space="6"/>
        </w:pBdr>
        <w:shd w:fill="F4F6FA" w:color="auto" w:val="clear"/>
        <w:spacing w:after="0" w:line="240"/>
      </w:pPr>
      <w:r>
        <w:rPr>
          <w:rFonts w:ascii="Consolas" w:cs="Consolas" w:eastAsia="Consolas" w:hAnsi="Consolas"/>
          <w:color w:val="1A2B45"/>
          <w:sz w:val="18"/>
          <w:szCs w:val="18"/>
        </w:rPr>
        <w:t xml:space="preserve">  Плоскости на узел:    │       │            │            │       │</w:t>
      </w:r>
    </w:p>
    <w:p>
      <w:pPr>
        <w:pBdr>
          <w:left w:val="single" w:color="C08A2E" w:sz="18" w:space="6"/>
        </w:pBdr>
        <w:shd w:fill="F4F6FA" w:color="auto" w:val="clear"/>
        <w:spacing w:after="0" w:line="240"/>
      </w:pPr>
      <w:r>
        <w:rPr>
          <w:rFonts w:ascii="Consolas" w:cs="Consolas" w:eastAsia="Consolas" w:hAnsi="Consolas"/>
          <w:color w:val="1A2B45"/>
          <w:sz w:val="18"/>
          <w:szCs w:val="18"/>
        </w:rPr>
        <w:t xml:space="preserve">   • bond0/vmbr0  MGMT + Corosync ring0  (1500)                   │</w:t>
      </w:r>
    </w:p>
    <w:p>
      <w:pPr>
        <w:pBdr>
          <w:left w:val="single" w:color="C08A2E" w:sz="18" w:space="6"/>
        </w:pBdr>
        <w:shd w:fill="F4F6FA" w:color="auto" w:val="clear"/>
        <w:spacing w:after="0" w:line="240"/>
      </w:pPr>
      <w:r>
        <w:rPr>
          <w:rFonts w:ascii="Consolas" w:cs="Consolas" w:eastAsia="Consolas" w:hAnsi="Consolas"/>
          <w:color w:val="1A2B45"/>
          <w:sz w:val="18"/>
          <w:szCs w:val="18"/>
        </w:rPr>
        <w:t xml:space="preserve">   • bond1/vmbr1  DATA/uplink (SDN vDS, VLAN-aware, 9000)         │</w:t>
      </w:r>
    </w:p>
    <w:p>
      <w:pPr>
        <w:pBdr>
          <w:left w:val="single" w:color="C08A2E" w:sz="18" w:space="6"/>
        </w:pBdr>
        <w:shd w:fill="F4F6FA" w:color="auto" w:val="clear"/>
        <w:spacing w:after="0" w:line="240"/>
      </w:pPr>
      <w:r>
        <w:rPr>
          <w:rFonts w:ascii="Consolas" w:cs="Consolas" w:eastAsia="Consolas" w:hAnsi="Consolas"/>
          <w:color w:val="1A2B45"/>
          <w:sz w:val="18"/>
          <w:szCs w:val="18"/>
        </w:rPr>
        <w:t xml:space="preserve">   • bond2        STORAGE (Ceph cluster, 9000)                   │</w:t>
      </w:r>
    </w:p>
    <w:p>
      <w:pPr>
        <w:pBdr>
          <w:bottom w:val="single" w:color="D9DFEA" w:sz="2" w:space="2"/>
          <w:left w:val="single" w:color="C08A2E" w:sz="18" w:space="6"/>
        </w:pBdr>
        <w:shd w:fill="F4F6FA" w:color="auto" w:val="clear"/>
        <w:spacing w:after="0" w:line="240"/>
      </w:pPr>
      <w:r>
        <w:rPr>
          <w:rFonts w:ascii="Consolas" w:cs="Consolas" w:eastAsia="Consolas" w:hAnsi="Consolas"/>
          <w:color w:val="1A2B45"/>
          <w:sz w:val="18"/>
          <w:szCs w:val="18"/>
        </w:rPr>
        <w:t xml:space="preserve">                        └─────────────────────────────────────────┘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2.2. Сетевые плоскости</w:t>
      </w:r>
    </w:p>
    <w:tbl>
      <w:tblPr>
        <w:tblW w:type="dxa" w:w="9360"/>
        <w:tblBorders>
          <w:top w:val="single" w:color="C7CFDD" w:sz="2"/>
          <w:left w:val="single" w:color="C7CFDD" w:sz="2"/>
          <w:bottom w:val="single" w:color="C7CFDD" w:sz="2"/>
          <w:right w:val="single" w:color="C7CFDD" w:sz="2"/>
          <w:insideH w:val="single" w:color="D9DFEA" w:sz="1"/>
          <w:insideV w:val="single" w:color="D9DFEA" w:sz="1"/>
        </w:tblBorders>
      </w:tblPr>
      <w:tblGrid>
        <w:gridCol w:w="2000"/>
        <w:gridCol w:w="2400"/>
        <w:gridCol w:w="900"/>
        <w:gridCol w:w="4060"/>
      </w:tblGrid>
      <w:tr>
        <w:trPr>
          <w:tblHeader/>
        </w:trPr>
        <w:tc>
          <w:tcPr>
            <w:tcW w:type="dxa" w:w="2000"/>
            <w:shd w:fill="1F2A44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Плоскость</w:t>
            </w:r>
          </w:p>
        </w:tc>
        <w:tc>
          <w:tcPr>
            <w:tcW w:type="dxa" w:w="2400"/>
            <w:shd w:fill="1F2A44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Бонд/бридж</w:t>
            </w:r>
          </w:p>
        </w:tc>
        <w:tc>
          <w:tcPr>
            <w:tcW w:type="dxa" w:w="900"/>
            <w:shd w:fill="1F2A44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MTU</w:t>
            </w:r>
          </w:p>
        </w:tc>
        <w:tc>
          <w:tcPr>
            <w:tcW w:type="dxa" w:w="4060"/>
            <w:shd w:fill="1F2A44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Назначение</w:t>
            </w:r>
          </w:p>
        </w:tc>
      </w:tr>
      <w:tr>
        <w:tc>
          <w:tcPr>
            <w:tcW w:type="dxa" w:w="20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Management</w:t>
            </w:r>
          </w:p>
        </w:tc>
        <w:tc>
          <w:tcPr>
            <w:tcW w:type="dxa" w:w="24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bond0 / vmbr0</w:t>
            </w:r>
          </w:p>
        </w:tc>
        <w:tc>
          <w:tcPr>
            <w:tcW w:type="dxa" w:w="9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1500</w:t>
            </w:r>
          </w:p>
        </w:tc>
        <w:tc>
          <w:tcPr>
            <w:tcW w:type="dxa" w:w="40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Веб-GUI, API, SSH, Corosync ring0</w:t>
            </w:r>
          </w:p>
        </w:tc>
      </w:tr>
      <w:tr>
        <w:tc>
          <w:tcPr>
            <w:tcW w:type="dxa" w:w="200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Data / Uplink</w:t>
            </w:r>
          </w:p>
        </w:tc>
        <w:tc>
          <w:tcPr>
            <w:tcW w:type="dxa" w:w="240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bond1 / vmbr1</w:t>
            </w:r>
          </w:p>
        </w:tc>
        <w:tc>
          <w:tcPr>
            <w:tcW w:type="dxa" w:w="90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9000</w:t>
            </w:r>
          </w:p>
        </w:tc>
        <w:tc>
          <w:tcPr>
            <w:tcW w:type="dxa" w:w="406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Трафик ВМ, аплинк SDN (vDS), Ceph public</w:t>
            </w:r>
          </w:p>
        </w:tc>
      </w:tr>
      <w:tr>
        <w:tc>
          <w:tcPr>
            <w:tcW w:type="dxa" w:w="20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Storage</w:t>
            </w:r>
          </w:p>
        </w:tc>
        <w:tc>
          <w:tcPr>
            <w:tcW w:type="dxa" w:w="24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bond2</w:t>
            </w:r>
          </w:p>
        </w:tc>
        <w:tc>
          <w:tcPr>
            <w:tcW w:type="dxa" w:w="9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9000</w:t>
            </w:r>
          </w:p>
        </w:tc>
        <w:tc>
          <w:tcPr>
            <w:tcW w:type="dxa" w:w="40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Репликация Ceph cluster (OSD↔OSD)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left w:val="single" w:color="3B5279" w:sz="24" w:space="8"/>
            </w:tcBorders>
            <w:shd w:fill="EAEE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3B5279"/>
                <w:sz w:val="20"/>
                <w:szCs w:val="20"/>
              </w:rPr>
              <w:t xml:space="preserve">Проектное решение: разнесение плоскостей</w:t>
            </w:r>
          </w:p>
          <w:p>
            <w:pPr>
              <w:spacing w:after="20" w:line="260"/>
            </w:pPr>
            <w:r>
              <w:rPr>
                <w:rFonts w:ascii="Calibri" w:cs="Calibri" w:eastAsia="Calibri" w:hAnsi="Calibri"/>
                <w:color w:val="2B2B2B"/>
                <w:sz w:val="20"/>
                <w:szCs w:val="20"/>
              </w:rPr>
              <w:t xml:space="preserve">Corosync выносится на management-плоскость с резервным кольцом ring1, чтобы шторм трафика на data/storage не влиял на кворум. Ceph cluster network физически изолирован в bond2 — это защищает репликацию от конкуренции с трафиком ВМ и снижает хвостовые задержки записи.</w:t>
            </w:r>
          </w:p>
          <w:p>
            <w:pPr>
              <w:spacing w:after="20" w:line="260"/>
            </w:pPr>
            <w:r>
              <w:rPr>
                <w:rFonts w:ascii="Calibri" w:cs="Calibri" w:eastAsia="Calibri" w:hAnsi="Calibri"/>
                <w:color w:val="2B2B2B"/>
                <w:sz w:val="20"/>
                <w:szCs w:val="20"/>
              </w:rPr>
              <w:t xml:space="preserve">Jumbo-frames (MTU 9000) на data/storage обязательны для Ceph: снижают накладные расходы на TCP и повышают эффективную пропускную способность репликации.</w:t>
            </w:r>
          </w:p>
        </w:tc>
      </w:tr>
    </w:tbl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2.3. Модели хранилища</w:t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2E3E5C"/>
          <w:sz w:val="22"/>
          <w:szCs w:val="22"/>
        </w:rPr>
        <w:t xml:space="preserve">Ceph (гиперконвергентный)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Локальные NVMe/SSD каждого узла агрегируются в единый распределённый пул RBD. Данные реплицируются между узлами (по умолчанию 3 копии). Отказ узла не приводит к потере данных, а HA перезапускает его ВМ на оставшихся узлах. Оптимально для «горячих» рабочих нагрузок и линейного масштабирования ёмкости добавлением узлов/дисков.</w:t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2E3E5C"/>
          <w:sz w:val="22"/>
          <w:szCs w:val="22"/>
        </w:rPr>
        <w:t xml:space="preserve">FC / внешний массив (shared LVM)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LUN-ы внешнего массива подключаются по Fibre Channel (или iSCSI/SAS) через multipath, поверх которого создаётся LVM volume group и публикуется shared-LVM storage. Живая миграция и HA работают за счёт общего доступа всех узлов к одним и тем же LUN-ам. Оптимально при наличии инвестиций в СХД корпоративного класса и требованиях к предсказуемой латентности БД.</w:t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2E3E5C"/>
          <w:sz w:val="22"/>
          <w:szCs w:val="22"/>
        </w:rPr>
        <w:t xml:space="preserve">Hybrid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Обе модели одновременно: Ceph для основной массы ВМ и эластичной ёмкости, внешний FC-массив — для нагрузок, чувствительных к латентности (СУБД, legacy-приложения). Размещение выбирается на уровне отдельной ВМ.</w:t>
      </w:r>
    </w:p>
    <w:p>
      <w:pPr>
        <w:spacing w:after="80"/>
      </w:pPr>
    </w:p>
    <w:tbl>
      <w:tblPr>
        <w:tblW w:type="dxa" w:w="9360"/>
        <w:tblBorders>
          <w:top w:val="single" w:color="C7CFDD" w:sz="2"/>
          <w:left w:val="single" w:color="C7CFDD" w:sz="2"/>
          <w:bottom w:val="single" w:color="C7CFDD" w:sz="2"/>
          <w:right w:val="single" w:color="C7CFDD" w:sz="2"/>
          <w:insideH w:val="single" w:color="D9DFEA" w:sz="1"/>
          <w:insideV w:val="single" w:color="D9DFEA" w:sz="1"/>
        </w:tblBorders>
      </w:tblPr>
      <w:tblGrid>
        <w:gridCol w:w="3000"/>
        <w:gridCol w:w="3180"/>
        <w:gridCol w:w="3180"/>
      </w:tblGrid>
      <w:tr>
        <w:trPr>
          <w:tblHeader/>
        </w:trPr>
        <w:tc>
          <w:tcPr>
            <w:tcW w:type="dxa" w:w="3000"/>
            <w:shd w:fill="1F2A44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Критерий</w:t>
            </w:r>
          </w:p>
        </w:tc>
        <w:tc>
          <w:tcPr>
            <w:tcW w:type="dxa" w:w="3180"/>
            <w:shd w:fill="1F2A44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Ceph</w:t>
            </w:r>
          </w:p>
        </w:tc>
        <w:tc>
          <w:tcPr>
            <w:tcW w:type="dxa" w:w="3180"/>
            <w:shd w:fill="1F2A44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FC / shared LVM</w:t>
            </w:r>
          </w:p>
        </w:tc>
      </w:tr>
      <w:tr>
        <w:tc>
          <w:tcPr>
            <w:tcW w:type="dxa" w:w="30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Отказоустойчивость данных</w:t>
            </w:r>
          </w:p>
        </w:tc>
        <w:tc>
          <w:tcPr>
            <w:tcW w:type="dxa" w:w="318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Репликация N-копий между узлами</w:t>
            </w:r>
          </w:p>
        </w:tc>
        <w:tc>
          <w:tcPr>
            <w:tcW w:type="dxa" w:w="318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На стороне массива (RAID/контроллеры)</w:t>
            </w:r>
          </w:p>
        </w:tc>
      </w:tr>
      <w:tr>
        <w:tc>
          <w:tcPr>
            <w:tcW w:type="dxa" w:w="300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Масштабирование</w:t>
            </w:r>
          </w:p>
        </w:tc>
        <w:tc>
          <w:tcPr>
            <w:tcW w:type="dxa" w:w="318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Линейное (scale-out)</w:t>
            </w:r>
          </w:p>
        </w:tc>
        <w:tc>
          <w:tcPr>
            <w:tcW w:type="dxa" w:w="318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Ограничено массивом (scale-up)</w:t>
            </w:r>
          </w:p>
        </w:tc>
      </w:tr>
      <w:tr>
        <w:tc>
          <w:tcPr>
            <w:tcW w:type="dxa" w:w="30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Латентность записи</w:t>
            </w:r>
          </w:p>
        </w:tc>
        <w:tc>
          <w:tcPr>
            <w:tcW w:type="dxa" w:w="318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Выше (сетевая репликация)</w:t>
            </w:r>
          </w:p>
        </w:tc>
        <w:tc>
          <w:tcPr>
            <w:tcW w:type="dxa" w:w="318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Ниже (локальный массив)</w:t>
            </w:r>
          </w:p>
        </w:tc>
      </w:tr>
      <w:tr>
        <w:tc>
          <w:tcPr>
            <w:tcW w:type="dxa" w:w="300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Стоимость входа</w:t>
            </w:r>
          </w:p>
        </w:tc>
        <w:tc>
          <w:tcPr>
            <w:tcW w:type="dxa" w:w="318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Ниже (commodity-диски)</w:t>
            </w:r>
          </w:p>
        </w:tc>
        <w:tc>
          <w:tcPr>
            <w:tcW w:type="dxa" w:w="318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Выше (СХД + FC-фабрика)</w:t>
            </w:r>
          </w:p>
        </w:tc>
      </w:tr>
      <w:tr>
        <w:tc>
          <w:tcPr>
            <w:tcW w:type="dxa" w:w="30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Снапшоты ВМ</w:t>
            </w:r>
          </w:p>
        </w:tc>
        <w:tc>
          <w:tcPr>
            <w:tcW w:type="dxa" w:w="318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RBD (нативно)</w:t>
            </w:r>
          </w:p>
        </w:tc>
        <w:tc>
          <w:tcPr>
            <w:tcW w:type="dxa" w:w="318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LVM-thin / на массиве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C08A2E" w:sz="12" w:space="4"/>
        </w:pBdr>
        <w:spacing w:after="140" w:before="320"/>
      </w:pPr>
      <w:r>
        <w:rPr>
          <w:rFonts w:ascii="Calibri" w:cs="Calibri" w:eastAsia="Calibri" w:hAnsi="Calibri"/>
          <w:b/>
          <w:bCs/>
          <w:color w:val="1F2A44"/>
          <w:sz w:val="30"/>
          <w:szCs w:val="30"/>
        </w:rPr>
        <w:t xml:space="preserve">3. Программно-определяемая сеть (SDN) по модели vDS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Сетевая модель — центральный элемент решения. Она воспроизводит операционную логику VMware vDS: единый на весь кластер коммутатор с распределёнными port-group, конфигурируемый централизованно и синхронно применяемый на всех узлах.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3.1. Иерархия объектов SDN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Zone (зона)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— аналог vDS. Определяет тип коммутации (vlan/vxlan/evpn) и физический аплинк (VLAN-aware бридж vmbr1 поверх LACP-бонда).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VNet (виртуальная сеть)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— аналог distributed port-group. Идентифицируется VLAN-тегом (для VLAN-зоны) или VNI (для overlay). Именно VNet выбирается как «бридж» при создании сетевого адаптера ВМ.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Subnet (подсеть)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— опциональный слой IPAM/anycast-шлюза на VNet (для vxlan/evpn), аналог шлюза уровня NSX-сегмента.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Controller (контроллер)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— для EVPN: BGP control-plane, распространяющий MAC/IP-маршруты между узлами (аналог NSX Controller).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3.2. Типы зон и когда их применять</w:t>
      </w:r>
    </w:p>
    <w:tbl>
      <w:tblPr>
        <w:tblW w:type="dxa" w:w="9360"/>
        <w:tblBorders>
          <w:top w:val="single" w:color="C7CFDD" w:sz="2"/>
          <w:left w:val="single" w:color="C7CFDD" w:sz="2"/>
          <w:bottom w:val="single" w:color="C7CFDD" w:sz="2"/>
          <w:right w:val="single" w:color="C7CFDD" w:sz="2"/>
          <w:insideH w:val="single" w:color="D9DFEA" w:sz="1"/>
          <w:insideV w:val="single" w:color="D9DFEA" w:sz="1"/>
        </w:tblBorders>
      </w:tblPr>
      <w:tblGrid>
        <w:gridCol w:w="1400"/>
        <w:gridCol w:w="2100"/>
        <w:gridCol w:w="2000"/>
        <w:gridCol w:w="3860"/>
      </w:tblGrid>
      <w:tr>
        <w:trPr>
          <w:tblHeader/>
        </w:trPr>
        <w:tc>
          <w:tcPr>
            <w:tcW w:type="dxa" w:w="1400"/>
            <w:shd w:fill="1F2A44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Тип зоны</w:t>
            </w:r>
          </w:p>
        </w:tc>
        <w:tc>
          <w:tcPr>
            <w:tcW w:type="dxa" w:w="2100"/>
            <w:shd w:fill="1F2A44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Инкапсуляция</w:t>
            </w:r>
          </w:p>
        </w:tc>
        <w:tc>
          <w:tcPr>
            <w:tcW w:type="dxa" w:w="2000"/>
            <w:shd w:fill="1F2A44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Аналог VMware</w:t>
            </w:r>
          </w:p>
        </w:tc>
        <w:tc>
          <w:tcPr>
            <w:tcW w:type="dxa" w:w="3860"/>
            <w:shd w:fill="1F2A44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Когда применять</w:t>
            </w:r>
          </w:p>
        </w:tc>
      </w:tr>
      <w:tr>
        <w:tc>
          <w:tcPr>
            <w:tcW w:type="dxa" w:w="14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vlan</w:t>
            </w:r>
          </w:p>
        </w:tc>
        <w:tc>
          <w:tcPr>
            <w:tcW w:type="dxa" w:w="21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802.1Q (VLAN)</w:t>
            </w:r>
          </w:p>
        </w:tc>
        <w:tc>
          <w:tcPr>
            <w:tcW w:type="dxa" w:w="20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vDS + VLAN PG</w:t>
            </w:r>
          </w:p>
        </w:tc>
        <w:tc>
          <w:tcPr>
            <w:tcW w:type="dxa" w:w="38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Плоская L2-фабрика, VLAN-и заведены на физических коммутаторах</w:t>
            </w:r>
          </w:p>
        </w:tc>
      </w:tr>
      <w:tr>
        <w:tc>
          <w:tcPr>
            <w:tcW w:type="dxa" w:w="140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vxlan</w:t>
            </w:r>
          </w:p>
        </w:tc>
        <w:tc>
          <w:tcPr>
            <w:tcW w:type="dxa" w:w="210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VXLAN (L2 overlay)</w:t>
            </w:r>
          </w:p>
        </w:tc>
        <w:tc>
          <w:tcPr>
            <w:tcW w:type="dxa" w:w="200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NSX overlay</w:t>
            </w:r>
          </w:p>
        </w:tc>
        <w:tc>
          <w:tcPr>
            <w:tcW w:type="dxa" w:w="386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Изоляция без правки физических коммутаторов, много сегментов</w:t>
            </w:r>
          </w:p>
        </w:tc>
      </w:tr>
      <w:tr>
        <w:tc>
          <w:tcPr>
            <w:tcW w:type="dxa" w:w="14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evpn</w:t>
            </w:r>
          </w:p>
        </w:tc>
        <w:tc>
          <w:tcPr>
            <w:tcW w:type="dxa" w:w="21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VXLAN + BGP-EVPN</w:t>
            </w:r>
          </w:p>
        </w:tc>
        <w:tc>
          <w:tcPr>
            <w:tcW w:type="dxa" w:w="20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NSX T0/T1</w:t>
            </w:r>
          </w:p>
        </w:tc>
        <w:tc>
          <w:tcPr>
            <w:tcW w:type="dxa" w:w="38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Мультитенант, маршрутизация между VNet, anycast GW, выход наружу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left w:val="single" w:color="2E3E5C" w:sz="24" w:space="8"/>
            </w:tcBorders>
            <w:shd w:fill="EAEE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E3E5C"/>
                <w:sz w:val="20"/>
                <w:szCs w:val="20"/>
              </w:rPr>
              <w:t xml:space="preserve">Почему это «как vDS»</w:t>
            </w:r>
          </w:p>
          <w:p>
            <w:pPr>
              <w:spacing w:after="20" w:line="260"/>
            </w:pPr>
            <w:r>
              <w:rPr>
                <w:rFonts w:ascii="Calibri" w:cs="Calibri" w:eastAsia="Calibri" w:hAnsi="Calibri"/>
                <w:color w:val="2B2B2B"/>
                <w:sz w:val="20"/>
                <w:szCs w:val="20"/>
              </w:rPr>
              <w:t xml:space="preserve">После применения SDN-конфигурации (pvesh set /cluster/sdn — аналог vDS commit) каждый VNet становится доступен на всех узлах кластера как обычный бридж. При создании ВМ администратор выбирает VNet точно так же, как выбирал бы distributed port-group в vSphere — сеть следует за ВМ при миграции без ручной перенастройки на целевом узле.</w:t>
            </w:r>
          </w:p>
        </w:tc>
      </w:tr>
    </w:tbl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3.3. Пример целевой модели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В эталонной конфигурации создаётся одна VLAN-зона dc1 с аплинком vmbr1 и четырьмя VNet-ами (port-group).</w:t>
      </w:r>
    </w:p>
    <w:tbl>
      <w:tblPr>
        <w:tblW w:type="dxa" w:w="9360"/>
        <w:tblBorders>
          <w:top w:val="single" w:color="C7CFDD" w:sz="2"/>
          <w:left w:val="single" w:color="C7CFDD" w:sz="2"/>
          <w:bottom w:val="single" w:color="C7CFDD" w:sz="2"/>
          <w:right w:val="single" w:color="C7CFDD" w:sz="2"/>
          <w:insideH w:val="single" w:color="D9DFEA" w:sz="1"/>
          <w:insideV w:val="single" w:color="D9DFEA" w:sz="1"/>
        </w:tblBorders>
      </w:tblPr>
      <w:tblGrid>
        <w:gridCol w:w="1900"/>
        <w:gridCol w:w="1300"/>
        <w:gridCol w:w="3300"/>
        <w:gridCol w:w="2860"/>
      </w:tblGrid>
      <w:tr>
        <w:trPr>
          <w:tblHeader/>
        </w:trPr>
        <w:tc>
          <w:tcPr>
            <w:tcW w:type="dxa" w:w="1900"/>
            <w:shd w:fill="1F2A44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VNet</w:t>
            </w:r>
          </w:p>
        </w:tc>
        <w:tc>
          <w:tcPr>
            <w:tcW w:type="dxa" w:w="1300"/>
            <w:shd w:fill="1F2A44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VLAN/VNI</w:t>
            </w:r>
          </w:p>
        </w:tc>
        <w:tc>
          <w:tcPr>
            <w:tcW w:type="dxa" w:w="3300"/>
            <w:shd w:fill="1F2A44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Назначение (alias)</w:t>
            </w:r>
          </w:p>
        </w:tc>
        <w:tc>
          <w:tcPr>
            <w:tcW w:type="dxa" w:w="2860"/>
            <w:shd w:fill="1F2A44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Subnet (для evpn)</w:t>
            </w:r>
          </w:p>
        </w:tc>
      </w:tr>
      <w:tr>
        <w:tc>
          <w:tcPr>
            <w:tcW w:type="dxa" w:w="19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vnet-mgmt</w:t>
            </w:r>
          </w:p>
        </w:tc>
        <w:tc>
          <w:tcPr>
            <w:tcW w:type="dxa" w:w="13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100</w:t>
            </w:r>
          </w:p>
        </w:tc>
        <w:tc>
          <w:tcPr>
            <w:tcW w:type="dxa" w:w="33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Управление серверами</w:t>
            </w:r>
          </w:p>
        </w:tc>
        <w:tc>
          <w:tcPr>
            <w:tcW w:type="dxa" w:w="28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190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vnet-app</w:t>
            </w:r>
          </w:p>
        </w:tc>
        <w:tc>
          <w:tcPr>
            <w:tcW w:type="dxa" w:w="130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200</w:t>
            </w:r>
          </w:p>
        </w:tc>
        <w:tc>
          <w:tcPr>
            <w:tcW w:type="dxa" w:w="330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Приложения</w:t>
            </w:r>
          </w:p>
        </w:tc>
        <w:tc>
          <w:tcPr>
            <w:tcW w:type="dxa" w:w="286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172.16.20.0/24 (gw .1)</w:t>
            </w:r>
          </w:p>
        </w:tc>
      </w:tr>
      <w:tr>
        <w:tc>
          <w:tcPr>
            <w:tcW w:type="dxa" w:w="19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vnet-db</w:t>
            </w:r>
          </w:p>
        </w:tc>
        <w:tc>
          <w:tcPr>
            <w:tcW w:type="dxa" w:w="13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300</w:t>
            </w:r>
          </w:p>
        </w:tc>
        <w:tc>
          <w:tcPr>
            <w:tcW w:type="dxa" w:w="33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Базы данных</w:t>
            </w:r>
          </w:p>
        </w:tc>
        <w:tc>
          <w:tcPr>
            <w:tcW w:type="dxa" w:w="28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172.16.30.0/24 (gw .1)</w:t>
            </w:r>
          </w:p>
        </w:tc>
      </w:tr>
      <w:tr>
        <w:tc>
          <w:tcPr>
            <w:tcW w:type="dxa" w:w="190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vnet-dmz</w:t>
            </w:r>
          </w:p>
        </w:tc>
        <w:tc>
          <w:tcPr>
            <w:tcW w:type="dxa" w:w="130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400</w:t>
            </w:r>
          </w:p>
        </w:tc>
        <w:tc>
          <w:tcPr>
            <w:tcW w:type="dxa" w:w="330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DMZ</w:t>
            </w:r>
          </w:p>
        </w:tc>
        <w:tc>
          <w:tcPr>
            <w:tcW w:type="dxa" w:w="2860"/>
            <w:shd w:fill="EAEEF5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—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C08A2E" w:sz="12" w:space="4"/>
        </w:pBdr>
        <w:spacing w:after="140" w:before="320"/>
      </w:pPr>
      <w:r>
        <w:rPr>
          <w:rFonts w:ascii="Calibri" w:cs="Calibri" w:eastAsia="Calibri" w:hAnsi="Calibri"/>
          <w:b/>
          <w:bCs/>
          <w:color w:val="1F2A44"/>
          <w:sz w:val="30"/>
          <w:szCs w:val="30"/>
        </w:rPr>
        <w:t xml:space="preserve">4. Высокая доступность (HA)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HA-подсистема Proxmox отслеживает состояние узлов через Corosync и автоматически перезапускает ВМ отказавшего узла на исправных членах кластера. Обязательное условие — размещение дисков ВМ на shared/distributed storage (Ceph RBD или shared-LVM), доступном всем узлам.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4.1. Требования и гарантии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sz w:val="21"/>
          <w:szCs w:val="21"/>
        </w:rPr>
        <w:t xml:space="preserve">Кворум: минимум 3 узла, либо чётное число узлов + QDevice-арбитр. Без кворума фенсинг небезопасен (риск split-brain).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sz w:val="21"/>
          <w:szCs w:val="21"/>
        </w:rPr>
        <w:t xml:space="preserve">Fencing через watchdog (программный softdog или аппаратный IPMI/iLO/iDRAC) — гарантирует, что «зависший» узел будет перезагружен до перезапуска его ВМ в другом месте.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sz w:val="21"/>
          <w:szCs w:val="21"/>
        </w:rPr>
        <w:t xml:space="preserve">HA-группа задаёт приоритеты узлов (аналог affinity): ВМ предпочитает узлы с более высоким приоритетом.</w:t>
      </w:r>
    </w:p>
    <w:p>
      <w:pPr>
        <w:spacing w:after="8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left w:val="single" w:color="C08A2E" w:sz="24" w:space="8"/>
            </w:tcBorders>
            <w:shd w:fill="EAEE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C08A2E"/>
                <w:sz w:val="20"/>
                <w:szCs w:val="20"/>
              </w:rPr>
              <w:t xml:space="preserve">Честная оценка RPO/RTO</w:t>
            </w:r>
          </w:p>
          <w:p>
            <w:pPr>
              <w:spacing w:after="20" w:line="260"/>
            </w:pPr>
            <w:r>
              <w:rPr>
                <w:rFonts w:ascii="Calibri" w:cs="Calibri" w:eastAsia="Calibri" w:hAnsi="Calibri"/>
                <w:color w:val="2B2B2B"/>
                <w:sz w:val="20"/>
                <w:szCs w:val="20"/>
              </w:rPr>
              <w:t xml:space="preserve">HA обеспечивает восстановление доступности сервиса (перезапуск ВМ), но НЕ непрерывность в реальном времени: ВМ переживает отказ узла как внезапную перезагрузку. RPO определяется storage-слоем (Ceph реплицирует синхронно — потери зафиксированных записей нет; для FC — зависит от массива). RTO складывается из времени фенсинга + загрузки ОС ВМ, обычно десятки секунд–минуты.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C08A2E" w:sz="12" w:space="4"/>
        </w:pBdr>
        <w:spacing w:after="140" w:before="320"/>
      </w:pPr>
      <w:r>
        <w:rPr>
          <w:rFonts w:ascii="Calibri" w:cs="Calibri" w:eastAsia="Calibri" w:hAnsi="Calibri"/>
          <w:b/>
          <w:bCs/>
          <w:color w:val="1F2A44"/>
          <w:sz w:val="30"/>
          <w:szCs w:val="30"/>
        </w:rPr>
        <w:t xml:space="preserve">5. Пошаговая инсталляция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Нумерация подразделов соответствует номерам скриптов в комплекте (</w:t>
      </w:r>
      <w:r>
        <w:rPr>
          <w:rFonts w:ascii="Consolas" w:cs="Consolas" w:eastAsia="Consolas" w:hAnsi="Consolas"/>
          <w:color w:val="222222"/>
          <w:sz w:val="21"/>
          <w:szCs w:val="21"/>
        </w:rPr>
        <w:t xml:space="preserve">00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…</w:t>
      </w:r>
      <w:r>
        <w:rPr>
          <w:rFonts w:ascii="Consolas" w:cs="Consolas" w:eastAsia="Consolas" w:hAnsi="Consolas"/>
          <w:color w:val="222222"/>
          <w:sz w:val="21"/>
          <w:szCs w:val="21"/>
        </w:rPr>
        <w:t xml:space="preserve">60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). Все скрипты идемпотентны — безопасны для повторного запуска. Единственный редактируемый файл конфигурации — </w:t>
      </w:r>
      <w:r>
        <w:rPr>
          <w:rFonts w:ascii="Consolas" w:cs="Consolas" w:eastAsia="Consolas" w:hAnsi="Consolas"/>
          <w:color w:val="222222"/>
          <w:sz w:val="21"/>
          <w:szCs w:val="21"/>
        </w:rPr>
        <w:t xml:space="preserve">config/cluster.conf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.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5.0. Предварительные требования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sz w:val="21"/>
          <w:szCs w:val="21"/>
        </w:rPr>
        <w:t xml:space="preserve">Proxmox VE 8.x/9.x установлен на всех узлах (одинаковые версии), management-адреса заданы.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sz w:val="21"/>
          <w:szCs w:val="21"/>
        </w:rPr>
        <w:t xml:space="preserve">Пакет ifupdown2 присутствует (обязателен для SDN); NTP синхронизирован.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sz w:val="21"/>
          <w:szCs w:val="21"/>
        </w:rPr>
        <w:t xml:space="preserve">Настроен беспарольный SSH root-по-ключу между всеми узлами.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sz w:val="21"/>
          <w:szCs w:val="21"/>
        </w:rPr>
        <w:t xml:space="preserve">Для Ceph: выделенные NVMe/SSD под OSD, изолированные public/cluster сети. Для FC: выполнено зонирование фабрики и LUN-mapping на массиве.</w:t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2E3E5C"/>
          <w:sz w:val="22"/>
          <w:szCs w:val="22"/>
        </w:rPr>
        <w:t xml:space="preserve">Подготовка конфигурации</w:t>
      </w:r>
    </w:p>
    <w:p>
      <w:pPr>
        <w:pBdr>
          <w:top w:val="single" w:color="D9DFEA" w:sz="2" w:space="2"/>
          <w:left w:val="single" w:color="C08A2E" w:sz="18" w:space="6"/>
        </w:pBdr>
        <w:shd w:fill="F4F6FA" w:color="auto" w:val="clear"/>
        <w:spacing w:after="0" w:line="240"/>
      </w:pPr>
      <w:r>
        <w:rPr>
          <w:rFonts w:ascii="Consolas" w:cs="Consolas" w:eastAsia="Consolas" w:hAnsi="Consolas"/>
          <w:color w:val="1A2B45"/>
          <w:sz w:val="18"/>
          <w:szCs w:val="18"/>
        </w:rPr>
        <w:t xml:space="preserve">cp config/cluster.conf.example config/cluster.conf</w:t>
      </w:r>
    </w:p>
    <w:p>
      <w:pPr>
        <w:pBdr>
          <w:bottom w:val="single" w:color="D9DFEA" w:sz="2" w:space="2"/>
          <w:left w:val="single" w:color="C08A2E" w:sz="18" w:space="6"/>
        </w:pBdr>
        <w:shd w:fill="F4F6FA" w:color="auto" w:val="clear"/>
        <w:spacing w:after="0" w:line="240"/>
      </w:pPr>
      <w:r>
        <w:rPr>
          <w:rFonts w:ascii="Consolas" w:cs="Consolas" w:eastAsia="Consolas" w:hAnsi="Consolas"/>
          <w:color w:val="1A2B45"/>
          <w:sz w:val="18"/>
          <w:szCs w:val="18"/>
        </w:rPr>
        <w:t xml:space="preserve">$EDITOR config/cluster.conf   # узлы, DEPLOY_MODE, диски, сети, SDN, HA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Ключевой параметр — </w:t>
      </w:r>
      <w:r>
        <w:rPr>
          <w:rFonts w:ascii="Consolas" w:cs="Consolas" w:eastAsia="Consolas" w:hAnsi="Consolas"/>
          <w:color w:val="222222"/>
          <w:sz w:val="21"/>
          <w:szCs w:val="21"/>
        </w:rPr>
        <w:t xml:space="preserve">DEPLOY_MODE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 (</w:t>
      </w:r>
      <w:r>
        <w:rPr>
          <w:rFonts w:ascii="Consolas" w:cs="Consolas" w:eastAsia="Consolas" w:hAnsi="Consolas"/>
          <w:color w:val="222222"/>
          <w:sz w:val="21"/>
          <w:szCs w:val="21"/>
        </w:rPr>
        <w:t xml:space="preserve">ceph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 | </w:t>
      </w:r>
      <w:r>
        <w:rPr>
          <w:rFonts w:ascii="Consolas" w:cs="Consolas" w:eastAsia="Consolas" w:hAnsi="Consolas"/>
          <w:color w:val="222222"/>
          <w:sz w:val="21"/>
          <w:szCs w:val="21"/>
        </w:rPr>
        <w:t xml:space="preserve">fc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 | </w:t>
      </w:r>
      <w:r>
        <w:rPr>
          <w:rFonts w:ascii="Consolas" w:cs="Consolas" w:eastAsia="Consolas" w:hAnsi="Consolas"/>
          <w:color w:val="222222"/>
          <w:sz w:val="21"/>
          <w:szCs w:val="21"/>
        </w:rPr>
        <w:t xml:space="preserve">hybrid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). Диски OSD указывайте строго по </w:t>
      </w:r>
      <w:r>
        <w:rPr>
          <w:rFonts w:ascii="Consolas" w:cs="Consolas" w:eastAsia="Consolas" w:hAnsi="Consolas"/>
          <w:color w:val="222222"/>
          <w:sz w:val="21"/>
          <w:szCs w:val="21"/>
        </w:rPr>
        <w:t xml:space="preserve">/dev/disk/by-id/…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, а не /dev/sdX (порядок нестабилен между перезагрузками).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5.1. Фаза local — на каждом узле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Выполняется на всех узлах: проверка окружения, настройка сети, (для FC) — multipath.</w:t>
      </w:r>
    </w:p>
    <w:p>
      <w:pPr>
        <w:pBdr>
          <w:top w:val="single" w:color="D9DFEA" w:sz="2" w:space="2"/>
          <w:bottom w:val="single" w:color="D9DFEA" w:sz="2" w:space="2"/>
          <w:left w:val="single" w:color="C08A2E" w:sz="18" w:space="6"/>
        </w:pBdr>
        <w:shd w:fill="F4F6FA" w:color="auto" w:val="clear"/>
        <w:spacing w:after="0" w:line="240"/>
      </w:pPr>
      <w:r>
        <w:rPr>
          <w:rFonts w:ascii="Consolas" w:cs="Consolas" w:eastAsia="Consolas" w:hAnsi="Consolas"/>
          <w:color w:val="1A2B45"/>
          <w:sz w:val="18"/>
          <w:szCs w:val="18"/>
        </w:rPr>
        <w:t xml:space="preserve">sudo ./scripts/deploy-all.sh --phase local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Внутри последовательно отрабатывают </w:t>
      </w:r>
      <w:r>
        <w:rPr>
          <w:rFonts w:ascii="Consolas" w:cs="Consolas" w:eastAsia="Consolas" w:hAnsi="Consolas"/>
          <w:color w:val="222222"/>
          <w:sz w:val="21"/>
          <w:szCs w:val="21"/>
        </w:rPr>
        <w:t xml:space="preserve">00-preflight.sh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 (валидация версии PVE, hosts, SSH, пакетов), </w:t>
      </w:r>
      <w:r>
        <w:rPr>
          <w:rFonts w:ascii="Consolas" w:cs="Consolas" w:eastAsia="Consolas" w:hAnsi="Consolas"/>
          <w:color w:val="222222"/>
          <w:sz w:val="21"/>
          <w:szCs w:val="21"/>
        </w:rPr>
        <w:t xml:space="preserve">10-network.sh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 (LACP-бонды bond1/bond2, VLAN-aware vmbr1) и, при FC/hybrid, multipath-часть </w:t>
      </w:r>
      <w:r>
        <w:rPr>
          <w:rFonts w:ascii="Consolas" w:cs="Consolas" w:eastAsia="Consolas" w:hAnsi="Consolas"/>
          <w:color w:val="222222"/>
          <w:sz w:val="21"/>
          <w:szCs w:val="21"/>
        </w:rPr>
        <w:t xml:space="preserve">40-fc-storage.sh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left w:val="single" w:color="C08A2E" w:sz="24" w:space="8"/>
            </w:tcBorders>
            <w:shd w:fill="EAEE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C08A2E"/>
                <w:sz w:val="20"/>
                <w:szCs w:val="20"/>
              </w:rPr>
              <w:t xml:space="preserve">Внимание: применение сети</w:t>
            </w:r>
          </w:p>
          <w:p>
            <w:pPr>
              <w:spacing w:after="20" w:line="260"/>
            </w:pPr>
            <w:r>
              <w:rPr>
                <w:rFonts w:ascii="Calibri" w:cs="Calibri" w:eastAsia="Calibri" w:hAnsi="Calibri"/>
                <w:color w:val="2B2B2B"/>
                <w:sz w:val="20"/>
                <w:szCs w:val="20"/>
              </w:rPr>
              <w:t xml:space="preserve">10-network.sh применяет конфигурацию через ifreload -a. Убедитесь, что имена интерфейсов-slave в cluster.conf соответствуют реальным (проверка выводится в preflight). Ошибка в data/storage-плоскости не затрагивает management-доступ.</w:t>
            </w:r>
          </w:p>
        </w:tc>
      </w:tr>
    </w:tbl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5.2. Фаза init — на инициаторе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Инициатор — первый узел в массиве NODES. Создаёт кластер Corosync с резервным кольцом.</w:t>
      </w:r>
    </w:p>
    <w:p>
      <w:pPr>
        <w:pBdr>
          <w:top w:val="single" w:color="D9DFEA" w:sz="2" w:space="2"/>
          <w:bottom w:val="single" w:color="D9DFEA" w:sz="2" w:space="2"/>
          <w:left w:val="single" w:color="C08A2E" w:sz="18" w:space="6"/>
        </w:pBdr>
        <w:shd w:fill="F4F6FA" w:color="auto" w:val="clear"/>
        <w:spacing w:after="0" w:line="240"/>
      </w:pPr>
      <w:r>
        <w:rPr>
          <w:rFonts w:ascii="Consolas" w:cs="Consolas" w:eastAsia="Consolas" w:hAnsi="Consolas"/>
          <w:color w:val="1A2B45"/>
          <w:sz w:val="18"/>
          <w:szCs w:val="18"/>
        </w:rPr>
        <w:t xml:space="preserve">sudo ./scripts/deploy-all.sh --phase init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Отрабатывает </w:t>
      </w:r>
      <w:r>
        <w:rPr>
          <w:rFonts w:ascii="Consolas" w:cs="Consolas" w:eastAsia="Consolas" w:hAnsi="Consolas"/>
          <w:color w:val="222222"/>
          <w:sz w:val="21"/>
          <w:szCs w:val="21"/>
        </w:rPr>
        <w:t xml:space="preserve">20-cluster.sh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: pvecm create с link0/link1, ожидание кворума, опциональная настройка QDevice.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5.3. Фаза join — на остальных узлах</w:t>
      </w:r>
    </w:p>
    <w:p>
      <w:pPr>
        <w:pBdr>
          <w:top w:val="single" w:color="D9DFEA" w:sz="2" w:space="2"/>
          <w:bottom w:val="single" w:color="D9DFEA" w:sz="2" w:space="2"/>
          <w:left w:val="single" w:color="C08A2E" w:sz="18" w:space="6"/>
        </w:pBdr>
        <w:shd w:fill="F4F6FA" w:color="auto" w:val="clear"/>
        <w:spacing w:after="0" w:line="240"/>
      </w:pPr>
      <w:r>
        <w:rPr>
          <w:rFonts w:ascii="Consolas" w:cs="Consolas" w:eastAsia="Consolas" w:hAnsi="Consolas"/>
          <w:color w:val="1A2B45"/>
          <w:sz w:val="18"/>
          <w:szCs w:val="18"/>
        </w:rPr>
        <w:t xml:space="preserve">sudo ./scripts/deploy-all.sh --phase join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Тот же </w:t>
      </w:r>
      <w:r>
        <w:rPr>
          <w:rFonts w:ascii="Consolas" w:cs="Consolas" w:eastAsia="Consolas" w:hAnsi="Consolas"/>
          <w:color w:val="222222"/>
          <w:sz w:val="21"/>
          <w:szCs w:val="21"/>
        </w:rPr>
        <w:t xml:space="preserve">20-cluster.sh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 автоматически определяет, что узел не инициатор, и выполняет pvecm add через SSH к первому узлу.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5.4. Фаза cluster — на инициаторе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Финальная фаза разворачивает хранилище, SDN и HA. Порядок и набор шагов определяются DEPLOY_MODE.</w:t>
      </w:r>
    </w:p>
    <w:p>
      <w:pPr>
        <w:pBdr>
          <w:top w:val="single" w:color="D9DFEA" w:sz="2" w:space="2"/>
          <w:bottom w:val="single" w:color="D9DFEA" w:sz="2" w:space="2"/>
          <w:left w:val="single" w:color="C08A2E" w:sz="18" w:space="6"/>
        </w:pBdr>
        <w:shd w:fill="F4F6FA" w:color="auto" w:val="clear"/>
        <w:spacing w:after="0" w:line="240"/>
      </w:pPr>
      <w:r>
        <w:rPr>
          <w:rFonts w:ascii="Consolas" w:cs="Consolas" w:eastAsia="Consolas" w:hAnsi="Consolas"/>
          <w:color w:val="1A2B45"/>
          <w:sz w:val="18"/>
          <w:szCs w:val="18"/>
        </w:rPr>
        <w:t xml:space="preserve">sudo ./scripts/deploy-all.sh --phase cluster</w:t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2E3E5C"/>
          <w:sz w:val="22"/>
          <w:szCs w:val="22"/>
        </w:rPr>
        <w:t xml:space="preserve">5.4.1. Хранилище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Ceph (</w:t>
      </w:r>
      <w:r>
        <w:rPr>
          <w:rFonts w:ascii="Consolas" w:cs="Consolas" w:eastAsia="Consolas" w:hAnsi="Consolas"/>
          <w:color w:val="222222"/>
          <w:sz w:val="21"/>
          <w:szCs w:val="21"/>
        </w:rPr>
        <w:t xml:space="preserve">30-ceph.sh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): установка пакетов, init с разделением public/cluster сетей, мониторы, менеджеры, OSD из OSD_DISKS, RBD-пул + storage.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FC (</w:t>
      </w:r>
      <w:r>
        <w:rPr>
          <w:rFonts w:ascii="Consolas" w:cs="Consolas" w:eastAsia="Consolas" w:hAnsi="Consolas"/>
          <w:color w:val="222222"/>
          <w:sz w:val="21"/>
          <w:szCs w:val="21"/>
        </w:rPr>
        <w:t xml:space="preserve">40-fc-storage.sh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): VG поверх multipath-устройств, публикация shared-LVM storage на кластер.</w:t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2E3E5C"/>
          <w:sz w:val="22"/>
          <w:szCs w:val="22"/>
        </w:rPr>
        <w:t xml:space="preserve">5.4.2. SDN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Скрипт </w:t>
      </w:r>
      <w:r>
        <w:rPr>
          <w:rFonts w:ascii="Consolas" w:cs="Consolas" w:eastAsia="Consolas" w:hAnsi="Consolas"/>
          <w:color w:val="222222"/>
          <w:sz w:val="21"/>
          <w:szCs w:val="21"/>
        </w:rPr>
        <w:t xml:space="preserve">50-sdn.sh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 создаёт зону (≈ vDS), VNet-ы (≈ port-group) и subnet-ы, затем применяет конфигурацию на все узлы. Для EVPN дополнительно создаётся BGP-контроллер.</w:t>
      </w:r>
    </w:p>
    <w:p>
      <w:pPr>
        <w:pStyle w:val="Heading3"/>
        <w:spacing w:after="80" w:before="180"/>
      </w:pPr>
      <w:r>
        <w:rPr>
          <w:rFonts w:ascii="Calibri" w:cs="Calibri" w:eastAsia="Calibri" w:hAnsi="Calibri"/>
          <w:b/>
          <w:bCs/>
          <w:color w:val="2E3E5C"/>
          <w:sz w:val="22"/>
          <w:szCs w:val="22"/>
        </w:rPr>
        <w:t xml:space="preserve">5.4.3. High Availability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Скрипт </w:t>
      </w:r>
      <w:r>
        <w:rPr>
          <w:rFonts w:ascii="Consolas" w:cs="Consolas" w:eastAsia="Consolas" w:hAnsi="Consolas"/>
          <w:color w:val="222222"/>
          <w:sz w:val="21"/>
          <w:szCs w:val="21"/>
        </w:rPr>
        <w:t xml:space="preserve">60-ha.sh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 проверяет наличие shared/distributed storage, создаёт HA-группу с приоритетами. Постановка конкретных ВМ под HA — отдельной командой:</w:t>
      </w:r>
    </w:p>
    <w:p>
      <w:pPr>
        <w:pBdr>
          <w:top w:val="single" w:color="D9DFEA" w:sz="2" w:space="2"/>
          <w:bottom w:val="single" w:color="D9DFEA" w:sz="2" w:space="2"/>
          <w:left w:val="single" w:color="C08A2E" w:sz="18" w:space="6"/>
        </w:pBdr>
        <w:shd w:fill="F4F6FA" w:color="auto" w:val="clear"/>
        <w:spacing w:after="0" w:line="240"/>
      </w:pPr>
      <w:r>
        <w:rPr>
          <w:rFonts w:ascii="Consolas" w:cs="Consolas" w:eastAsia="Consolas" w:hAnsi="Consolas"/>
          <w:color w:val="1A2B45"/>
          <w:sz w:val="18"/>
          <w:szCs w:val="18"/>
        </w:rPr>
        <w:t xml:space="preserve">sudo ./scripts/add-ha-vm.sh 101 1 1   # vmid max_restart max_relocate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5.5. Валидация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После сборки выполните комплексный health-check. Скрипт только читает состояние и возвращает ненулевой код при любой проблеме (пригоден для CI/мониторинга).</w:t>
      </w:r>
    </w:p>
    <w:p>
      <w:pPr>
        <w:pBdr>
          <w:top w:val="single" w:color="D9DFEA" w:sz="2" w:space="2"/>
          <w:bottom w:val="single" w:color="D9DFEA" w:sz="2" w:space="2"/>
          <w:left w:val="single" w:color="C08A2E" w:sz="18" w:space="6"/>
        </w:pBdr>
        <w:shd w:fill="F4F6FA" w:color="auto" w:val="clear"/>
        <w:spacing w:after="0" w:line="240"/>
      </w:pPr>
      <w:r>
        <w:rPr>
          <w:rFonts w:ascii="Consolas" w:cs="Consolas" w:eastAsia="Consolas" w:hAnsi="Consolas"/>
          <w:color w:val="1A2B45"/>
          <w:sz w:val="18"/>
          <w:szCs w:val="18"/>
        </w:rPr>
        <w:t xml:space="preserve">sudo ./scripts/validate.sh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Проверяются: кворум и число узлов, поднятость SDN-uplink и MTU storage, доступность storage, здоровье Ceph (HEALTH_OK, наличие пула) и/или активность shared-LVM, существование зоны и всех VNet-ов, работа служб HA.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5.6. Откат (для лаборатории)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Управляемое удаление конфигурации. По умолчанию удаляются только «мягкие» объекты (SDN/HA/storage-определения); флаг </w:t>
      </w:r>
      <w:r>
        <w:rPr>
          <w:rFonts w:ascii="Consolas" w:cs="Consolas" w:eastAsia="Consolas" w:hAnsi="Consolas"/>
          <w:color w:val="222222"/>
          <w:sz w:val="21"/>
          <w:szCs w:val="21"/>
        </w:rPr>
        <w:t xml:space="preserve">--purge-data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 дополнительно уничтожает данные Ceph/LVM (с двойным подтверждением).</w:t>
      </w:r>
    </w:p>
    <w:p>
      <w:pPr>
        <w:pBdr>
          <w:top w:val="single" w:color="D9DFEA" w:sz="2" w:space="2"/>
          <w:left w:val="single" w:color="C08A2E" w:sz="18" w:space="6"/>
        </w:pBdr>
        <w:shd w:fill="F4F6FA" w:color="auto" w:val="clear"/>
        <w:spacing w:after="0" w:line="240"/>
      </w:pPr>
      <w:r>
        <w:rPr>
          <w:rFonts w:ascii="Consolas" w:cs="Consolas" w:eastAsia="Consolas" w:hAnsi="Consolas"/>
          <w:color w:val="1A2B45"/>
          <w:sz w:val="18"/>
          <w:szCs w:val="18"/>
        </w:rPr>
        <w:t xml:space="preserve">sudo ./scripts/teardown.sh                 # мягкий откат</w:t>
      </w:r>
    </w:p>
    <w:p>
      <w:pPr>
        <w:pBdr>
          <w:bottom w:val="single" w:color="D9DFEA" w:sz="2" w:space="2"/>
          <w:left w:val="single" w:color="C08A2E" w:sz="18" w:space="6"/>
        </w:pBdr>
        <w:shd w:fill="F4F6FA" w:color="auto" w:val="clear"/>
        <w:spacing w:after="0" w:line="240"/>
      </w:pPr>
      <w:r>
        <w:rPr>
          <w:rFonts w:ascii="Consolas" w:cs="Consolas" w:eastAsia="Consolas" w:hAnsi="Consolas"/>
          <w:color w:val="1A2B45"/>
          <w:sz w:val="18"/>
          <w:szCs w:val="18"/>
        </w:rPr>
        <w:t xml:space="preserve">sudo ./scripts/teardown.sh --purge-data    # + уничтожение данных</w:t>
      </w:r>
    </w:p>
    <w:p>
      <w:r>
        <w:br w:type="page"/>
      </w:r>
    </w:p>
    <w:p>
      <w:pPr>
        <w:pStyle w:val="Heading1"/>
        <w:pBdr>
          <w:bottom w:val="single" w:color="C08A2E" w:sz="12" w:space="4"/>
        </w:pBdr>
        <w:spacing w:after="140" w:before="320"/>
      </w:pPr>
      <w:r>
        <w:rPr>
          <w:rFonts w:ascii="Calibri" w:cs="Calibri" w:eastAsia="Calibri" w:hAnsi="Calibri"/>
          <w:b/>
          <w:bCs/>
          <w:color w:val="1F2A44"/>
          <w:sz w:val="30"/>
          <w:szCs w:val="30"/>
        </w:rPr>
        <w:t xml:space="preserve">6. Рекомендации по эксплуатации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6.1. Идемпотентность и повторные прогоны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Любой скрипт можно перезапускать: существующие объекты не пересоздаются, шаги пропускаются с отметкой OK. Это упрощает поэтапное внедрение и восстановление после частичных сбоев.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6.2. Логирование и диагностика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Все скрипты пишут в </w:t>
      </w:r>
      <w:r>
        <w:rPr>
          <w:rFonts w:ascii="Consolas" w:cs="Consolas" w:eastAsia="Consolas" w:hAnsi="Consolas"/>
          <w:color w:val="222222"/>
          <w:sz w:val="21"/>
          <w:szCs w:val="21"/>
        </w:rPr>
        <w:t xml:space="preserve">/var/log/pve-autoconf/&lt;script&gt;.log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 с временными метками. При прерывании обработчик ошибок печатает строку и код возврата, что ускоряет локализацию проблемы.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6.3. Масштабирование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sz w:val="21"/>
          <w:szCs w:val="21"/>
        </w:rPr>
        <w:t xml:space="preserve">Добавление узла: внесите его в NODES, выполните фазы local и join на новом узле, при Ceph — добавьте его OSD-диски и запустите ceph-часть.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sz w:val="21"/>
          <w:szCs w:val="21"/>
        </w:rPr>
        <w:t xml:space="preserve">Расширение Ceph-ёмкости: добавьте диски в OSD_DISKS и перезапустите 30-ceph.sh — новые OSD будут созданы, PG перебалансируются автоматически (autoscaler).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sz w:val="21"/>
          <w:szCs w:val="21"/>
        </w:rPr>
        <w:t xml:space="preserve">Новый сегмент сети: добавьте запись в SDN_VNETS и перезапустите 50-sdn.sh — новый port-group появится на всех узлах.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6.4. Безопасность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sz w:val="21"/>
          <w:szCs w:val="21"/>
        </w:rPr>
        <w:t xml:space="preserve">Изолируйте Corosync (ring0/ring1) и Ceph cluster network от пользовательского трафика.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sz w:val="21"/>
          <w:szCs w:val="21"/>
        </w:rPr>
        <w:t xml:space="preserve">Для HA включите аппаратный watchdog (IPMI) вместо softdog в production.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Calibri" w:cs="Calibri" w:eastAsia="Calibri" w:hAnsi="Calibri"/>
          <w:sz w:val="21"/>
          <w:szCs w:val="21"/>
        </w:rPr>
        <w:t xml:space="preserve">Ограничьте доступ к management-плоскости (vmbr0) межсетевым экраном; используйте отдельную сеть управления.</w:t>
      </w:r>
    </w:p>
    <w:p>
      <w:pPr>
        <w:spacing w:after="8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left w:val="single" w:color="3B5279" w:sz="24" w:space="8"/>
            </w:tcBorders>
            <w:shd w:fill="EAEE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3B5279"/>
                <w:sz w:val="20"/>
                <w:szCs w:val="20"/>
              </w:rPr>
              <w:t xml:space="preserve">Комплект поставки</w:t>
            </w:r>
          </w:p>
          <w:p>
            <w:pPr>
              <w:spacing w:after="20" w:line="260"/>
            </w:pPr>
            <w:r>
              <w:rPr>
                <w:rFonts w:ascii="Calibri" w:cs="Calibri" w:eastAsia="Calibri" w:hAnsi="Calibri"/>
                <w:color w:val="2B2B2B"/>
                <w:sz w:val="20"/>
                <w:szCs w:val="20"/>
              </w:rPr>
              <w:t xml:space="preserve">Документ сопровождается архивом pve-cluster-autoconfig.tar.gz со всеми скриптами, файлом-шаблоном конфигурации и README, где детально описан каждый скрипт. Держите документ и комплект скриптов вместе — их структура и нумерация согласованы.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CFDD" w:sz="4" w:space="4"/>
      </w:pBdr>
      <w:spacing w:before="0"/>
      <w:jc w:val="center"/>
    </w:pPr>
    <w:r>
      <w:rPr>
        <w:rFonts w:ascii="Calibri" w:cs="Calibri" w:eastAsia="Calibri" w:hAnsi="Calibri"/>
        <w:color w:val="5A6B85"/>
        <w:sz w:val="16"/>
        <w:szCs w:val="16"/>
      </w:rPr>
      <w:t xml:space="preserve">Стр. </w:t>
    </w:r>
    <w:r>
      <w:rPr>
        <w:rFonts w:ascii="Calibri" w:cs="Calibri" w:eastAsia="Calibri" w:hAnsi="Calibri"/>
        <w:color w:val="5A6B85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5A6B85"/>
        <w:sz w:val="16"/>
        <w:szCs w:val="16"/>
      </w:rPr>
      <w:t xml:space="preserve"> · Технический документ v1.0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CFDD" w:sz="4" w:space="4"/>
      </w:pBdr>
      <w:spacing w:after="0"/>
      <w:jc w:val="right"/>
    </w:pPr>
    <w:r>
      <w:rPr>
        <w:rFonts w:ascii="Calibri" w:cs="Calibri" w:eastAsia="Calibri" w:hAnsi="Calibri"/>
        <w:color w:val="5A6B85"/>
        <w:sz w:val="16"/>
        <w:szCs w:val="16"/>
      </w:rPr>
      <w:t xml:space="preserve">Кластер Proxmox VE · Архитектура и инсталляция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  <w:rPr>
        <w:color w:val="C08A2E"/>
      </w:rPr>
    </w:lvl>
    <w:lvl w:ilvl="1" w15:tentative="1">
      <w:start w:val="1"/>
      <w:numFmt w:val="bullet"/>
      <w:lvlText w:val="–"/>
      <w:lvlJc w:val="left"/>
      <w:pPr>
        <w:ind w:left="92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  <w:rPr>
        <w:b/>
        <w:bCs/>
        <w:color w:val="1F2A44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Архитектура и инсталляция кластера Proxmox VE</dc:title>
  <dc:creator>Infrastructure Engineering</dc:creator>
  <dc:description>Ceph/FC-hybrid, SDN по модели vDS, HA</dc:description>
  <cp:lastModifiedBy>Un-named</cp:lastModifiedBy>
  <cp:revision>1</cp:revision>
  <dcterms:created xsi:type="dcterms:W3CDTF">2026-07-13T15:49:44.083Z</dcterms:created>
  <dcterms:modified xsi:type="dcterms:W3CDTF">2026-07-13T15:49:44.083Z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