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0"/>
        <w:jc w:val="center"/>
      </w:pPr>
      <w:r>
        <w:rPr>
          <w:color w:val="888888"/>
          <w:sz w:val="24"/>
          <w:szCs w:val="24"/>
        </w:rPr>
        <w:t xml:space="preserve">Оператор IaaS</w:t>
      </w:r>
    </w:p>
    <w:p>
      <w:pPr>
        <w:spacing w:after="60"/>
        <w:jc w:val="center"/>
      </w:pPr>
      <w:r>
        <w:rPr>
          <w:b/>
          <w:bCs/>
          <w:color w:val="0B4F6C"/>
          <w:sz w:val="40"/>
          <w:szCs w:val="40"/>
        </w:rPr>
        <w:t xml:space="preserve">Объём миграции и влияние на охват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Migration Scope: vSphere + vCloud Director + NSX-T → Virtuozzo</w:t>
      </w:r>
    </w:p>
    <w:p>
      <w:pPr>
        <w:spacing w:after="300"/>
        <w:jc w:val="center"/>
      </w:pPr>
      <w:r>
        <w:rPr>
          <w:sz w:val="22"/>
          <w:szCs w:val="22"/>
        </w:rPr>
        <w:t xml:space="preserve">Соответствие PCI DSS v4.0.1 · Req. 6.5.1 / 12.5 / 11.4.5 / A1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rPr>
          <w:tblHeader/>
        </w:trP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Атрибут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Значение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Идентификатор документа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PCI-DOC-MIGRATION-SCOPE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Версия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1.0 (черновик)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Статус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Draft — заполнить владельцем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Владелец документа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Compliance Manager / CISO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Утверждающий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CISO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Дата утверждения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[ДД.ММ.ГГГГ]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Дата следующего пересмотра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Не позднее чем через 12 мес. (Req. 12.1.1)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Классификация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Confidential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Область действия (scope)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Полная миграция стека VMware → Virtuozzo</w:t>
            </w:r>
          </w:p>
        </w:tc>
      </w:tr>
    </w:tbl>
    <w:p>
      <w:pPr>
        <w:spacing w:after="120"/>
      </w:pPr>
    </w:p>
    <w:p>
      <w:pPr>
        <w:pStyle w:val="Heading2"/>
      </w:pPr>
      <w:r>
        <w:t xml:space="preserve">История изменений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800"/>
        <w:gridCol w:w="3000"/>
        <w:gridCol w:w="3360"/>
      </w:tblGrid>
      <w:tr>
        <w:trPr>
          <w:tblHeader/>
        </w:trP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Версия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Дата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Автор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Описание изменений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1.0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[дата]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[ФИО]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Первичная редакция в рамках re-assessment (VMware→Virtuozzo)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p>
      <w:pPr>
        <w:pStyle w:val="Heading2"/>
      </w:pPr>
      <w:r>
        <w:t xml:space="preserve">Утверждение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Роль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ФИО / Подпись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Дата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Подготовил (владелец)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Согласовал (Security Officer)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Утвердил (CISO/CEO)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1. Назначение</w:t>
      </w:r>
    </w:p>
    <w:p>
      <w:pPr>
        <w:spacing w:after="120"/>
      </w:pPr>
      <w:r>
        <w:t xml:space="preserve">Документ фиксирует объём значимого изменения (significant change) и его влияние на охват PCI DSS при комплексной миграции со стека VMware на платформу Virtuozzo Hybrid Server. Прикладывается к формальному change-record (Req. 6.5.1) и обосновывает проведение полной переоценки (full reassessment). Поддерживает Req. 6.5.1, 12.5.1, 12.5.2 и связанные требования.</w:t>
      </w:r>
    </w:p>
    <w:p>
      <w:pPr>
        <w:pStyle w:val="Heading1"/>
      </w:pPr>
      <w:r>
        <w:t xml:space="preserve">2. Состав изменения — три компонента</w:t>
      </w:r>
    </w:p>
    <w:p>
      <w:pPr>
        <w:spacing w:after="120"/>
      </w:pPr>
      <w:r>
        <w:rPr>
          <w:i/>
          <w:iCs/>
        </w:rPr>
        <w:t xml:space="preserve">Обозначения CDE-1 … CDE-N во всех документах и схемах относятся к МНОЖЕСТВЕННЫМ независимым тенантам-CDE (по одной среде данных карт на тенанта), каждая со своим охватом и своим ROC. Оператор предоставляет общую инфраструктуру и обеспечивает изоляцию этих CDE друг от друга.</w:t>
      </w:r>
    </w:p>
    <w:p>
      <w:pPr>
        <w:spacing w:after="120"/>
      </w:pPr>
      <w:r>
        <w:t xml:space="preserve">Заменяются три взаимосвязанных слоя стека VMware. Это не изолированная замена гипервизора, а перестройка платформы виртуализации, оркестрации и сети одновременно.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480"/>
        <w:gridCol w:w="3480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Слой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Было (VMware)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Стало (Virtuozzo/FortiGate)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Виртуализация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vSphere / ESXi + vCenter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4× Virtuozzo Hybrid Server + панель Virtuozzo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Оркестрация/портал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vCloud Director (Organizations, Org VDC, портал тенантов)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Штатная панель управления Virtuozzo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Сеть (SDN)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NSX-T (overlay, Distributed Firewall, edge, микросегментация)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VDOM на FortiGate 1800F + VLAN Virtuozzo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Хранилище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VMFS / vSAN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Virtuozzo Storage (реплика 3)</w:t>
            </w:r>
          </w:p>
        </w:tc>
      </w:tr>
    </w:tbl>
    <w:p>
      <w:pPr>
        <w:pStyle w:val="Heading1"/>
      </w:pPr>
      <w:r>
        <w:t xml:space="preserve">3. Компонент 1 — Платформа виртуализации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ESXi/vCenter заменены на узлы Virtuozzo HS и панель управления Virtuozzo.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Требуется новый стандарт харднинга (CIS/вендор) — прежний под ESXi выведен из применения (Req. 2.2).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Модель доступа администраторов: vSphere SSO → RBAC Virtuozzo + внешний AAA (RADIUS/AD) + MFA (Req. 7/8).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Источники логов оператора: vCenter/ESXi → Virtuozzo HS и панель Virtuozzo (платформенный уровень; внутренние логи CDE ведёт клиент) (Req. 10).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Шифрование at-rest: vSAN/VMFS → Virtuozzo Storage (Req. 3.5).</w:t>
      </w:r>
    </w:p>
    <w:p>
      <w:pPr>
        <w:pStyle w:val="Heading1"/>
      </w:pPr>
      <w:r>
        <w:t xml:space="preserve">4. Компонент 2 — Оркестрация и портал тенантов (vCloud Director)</w:t>
      </w:r>
    </w:p>
    <w:p>
      <w:pPr>
        <w:spacing w:after="120"/>
      </w:pPr>
      <w:r>
        <w:t xml:space="preserve">vCloud Director выполнял функции мультитенантной оркестрации и портала самообслуживания. Эти функции переходят на штатную панель Virtuozzo.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blHeader/>
        </w:trP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Функция vCD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Переоценка после перехода на панель Virtuozzo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Organizations / Org VDC (границы тенанта)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Объекты тенантов Virtuozzo — изоляция A1.1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Портал самообслуживания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Харднинг панели (2.2); если есть кастомизация — SDLC (6.2)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Роли и права тенантов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RBAC панели + AAA + MFA (7.2/7.3, 8.4/8.5)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Каталоги/шаблоны ВМ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Образы Virtuozzo, харднинг до выдачи (2.2, 6.3)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API доступ тенантов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API панели Virtuozzo: TLS, аутентификация (4.2.1, 8.x)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Аудит действий портала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Логи панели → SIEM, раздельно по тенантам (10, A1.2)</w:t>
            </w:r>
          </w:p>
        </w:tc>
      </w:tr>
    </w:tbl>
    <w:p>
      <w:pPr>
        <w:spacing w:after="120"/>
      </w:pPr>
      <w:r>
        <w:rPr>
          <w:b/>
          <w:bCs/>
        </w:rPr>
        <w:t xml:space="preserve">Особое внимание: панель управления Virtuozzo — это новый компонент CDE-периметра с привилегированным доступом к гипервизору и тенантам. Доступ к ней — только через bastion с MFA; харднинг и логирование обязательны.</w:t>
      </w:r>
    </w:p>
    <w:p>
      <w:pPr>
        <w:pStyle w:val="Heading1"/>
      </w:pPr>
      <w:r>
        <w:t xml:space="preserve">5. Компонент 3 — Программно-определяемая сеть (NSX-T)</w:t>
      </w:r>
    </w:p>
    <w:p>
      <w:pPr>
        <w:spacing w:after="120"/>
      </w:pPr>
      <w:r>
        <w:t xml:space="preserve">NSX-T обеспечивал overlay-сеть, edge-шлюзы и, что критично, Distributed Firewall (DFW) с микросегментацией на уровне vNIC каждой ВМ. После миграции сегментация реализуется через VDOM на FortiGate 1800F и VLAN Virtuozzo.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blHeader/>
        </w:trP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Функция NSX-T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Замена и переоценка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Overlay / логические сегменты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VLAN Virtuozzo + транк на FortiGate (1.2/1.3)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Edge / шлюзы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VDOM EDGE на FortiGate 1800F (1.2/1.4)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Distributed Firewall (east-west, vNIC)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VDOM-политики (north-south, между VLAN) + переосмысление внутрисегментной изоляции (1.3/1.4, 11.4.5)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Микросегментация тенантов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VLAN на тенанта + VDOM TENANT (A1.1)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Логи DFW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Логи FortiGate (все VDOM) → SIEM (10, 1.2.6)</w:t>
            </w:r>
          </w:p>
        </w:tc>
      </w:tr>
    </w:tbl>
    <w:p>
      <w:pPr>
        <w:pStyle w:val="Heading2"/>
      </w:pPr>
      <w:r>
        <w:t xml:space="preserve">5.1. Ключевой gap: утрата DFW на уровне vNIC</w:t>
      </w:r>
    </w:p>
    <w:p>
      <w:pPr>
        <w:spacing w:after="120"/>
      </w:pPr>
      <w:r>
        <w:t xml:space="preserve">NSX-T DFW фильтровал трафик между ВМ внутри одного логического сегмента (east-west микросегментация). VDOM на FortiGate по умолчанию не инспектирует трафик внутри одного VLAN — он работает на границах VLAN/сегментов (north-south). Это объективное архитектурное различие, которое требует явного решения и обоснования перед QSA.</w:t>
      </w:r>
    </w:p>
    <w:p>
      <w:pPr>
        <w:spacing w:after="120"/>
      </w:pPr>
      <w:r>
        <w:rPr>
          <w:b/>
          <w:bCs/>
        </w:rPr>
        <w:t xml:space="preserve">Допустимые подходы (выбрать и задокументировать):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Разнесение ранее микросегментированных нагрузок по отдельным VLAN, чтобы межмашинный трафик проходил через FortiGate и подпадал под VDOM-политики.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Применение локальных средств фильтрации на гостевых ОС (host-based firewall) для контроля east-west внутри сегмента.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Обоснование (с анализом рисков), что внутрисегментная микросегментация не требуется для конкретных компонентов CDE, если они однородны и равнодоверены.</w:t>
      </w:r>
    </w:p>
    <w:p>
      <w:pPr>
        <w:spacing w:after="120"/>
      </w:pPr>
      <w:r>
        <w:t xml:space="preserve">Выбранный подход подтверждается тестом сегментации (Req. 11.4.5/11.4.6), который для сервис-провайдера выполняется не реже раза в 6 месяцев и заново после данного изменения.</w:t>
      </w:r>
    </w:p>
    <w:p>
      <w:pPr>
        <w:pStyle w:val="Heading1"/>
      </w:pPr>
      <w:r>
        <w:t xml:space="preserve">6. Влияние на охват (scope) — Req. 12.5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Обновить asset inventory: удалить ESXi/vCenter/vCD/NSX-T, добавить узлы Virtuozzo HS, панель Virtuozzo, конфигурацию VDOM (Req. 12.5.1).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Переподтвердить границы CDE и сегментацию (Req. 12.5.2).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Обновить network diagram и dataflow (новые компоненты и потоки).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Пересмотреть применимость Appendix A1 — изоляция теперь на панели Virtuozzo + VDOM.</w:t>
      </w:r>
    </w:p>
    <w:p>
      <w:pPr>
        <w:pStyle w:val="Heading1"/>
      </w:pPr>
      <w:r>
        <w:t xml:space="preserve">7. Сводный перечень переоцениваемых требований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Req.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Что переоценивается из-за миграции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1.2-1.4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Сетевая сегментация: NSX-T → VDOM; новые правила, обзоры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2.2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Харднинг: узлы Virtuozzo + панель (бывш. vCD)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3.5-3.7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Шифрование at-rest на Virtuozzo Storage; ключи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4.2.1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TLS на новых интерфейсах (панель, API тенантов)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6.2/6.3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Если портал кастомизирован — SDLC; патчи новой платформы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7, 8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Доступ/RBAC/MFA: vSphere SSO+vCD → Virtuozzo+AAA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10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Новые источники логов: Virtuozzo HS, панель, FortiGate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11.4.5/11.4.6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Тест сегментации заново — между и внутри сегментов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11.3.1.3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Vuln-скан после значимого изменения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12.5.1/12.5.2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Asset inventory и переподтверждение охвата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A1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Изоляция тенантов: vCD+NSX-T → панель Virtuozzo+VDOM</w:t>
            </w:r>
          </w:p>
        </w:tc>
      </w:tr>
    </w:tbl>
    <w:p>
      <w:pPr>
        <w:pStyle w:val="Heading1"/>
      </w:pPr>
      <w:r>
        <w:t xml:space="preserve">8. Чек-лист готовности изменения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1680"/>
        <w:gridCol w:w="1680"/>
      </w:tblGrid>
      <w:tr>
        <w:trPr>
          <w:tblHeader/>
        </w:trP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Активность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Req.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Статус</w:t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Change-record оформлен (3 компонента)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6.5.1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Asset inventory обновлён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12.5.1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Network diagram + dataflow обновлены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12.5.2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Харднинг узлов Virtuozzo применён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2.2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Харднинг панели Virtuozzo (бывш. vCD) применён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2.2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VDOM-сегментация настроена и задокументирована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1.2-1.4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Решение по замене DFW принято и обосновано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1.3/1.4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Доступ тенантов/RBAC переоценён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7/8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Тест сегментации (между+внутри) выполнен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11.4.5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Vuln-скан после изменения пройден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11.3.1.3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Новые источники логов в SIEM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10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A1-изоляция подтверждена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A1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88888"/>
        <w:sz w:val="15"/>
        <w:szCs w:val="15"/>
      </w:rPr>
      <w:t xml:space="preserve">Стр. </w:t>
    </w:r>
    <w:r>
      <w:rPr>
        <w:color w:val="888888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88888"/>
        <w:sz w:val="15"/>
        <w:szCs w:val="15"/>
      </w:rPr>
      <w:t xml:space="preserve">Объём миграции и влияние на охват — PCI DSS v4.0.1 (Confidential)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  <w:lvl w:ilvl="1" w15:tentative="1">
      <w:start w:val="1"/>
      <w:numFmt w:val="bullet"/>
      <w:lvlText w:val="–"/>
      <w:lvlJc w:val="left"/>
      <w:pPr>
        <w:ind w:left="10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BA0D7" w:sz="6" w:space="4"/>
      </w:pBdr>
      <w:spacing w:after="140" w:before="240"/>
      <w:outlineLvl w:val="0"/>
    </w:pPr>
    <w:rPr>
      <w:rFonts w:ascii="Arial" w:cs="Arial" w:eastAsia="Arial" w:hAnsi="Arial"/>
      <w:b/>
      <w:bCs/>
      <w:color w:val="0B4F6C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16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70" w:before="120"/>
      <w:outlineLvl w:val="2"/>
    </w:pPr>
    <w:rPr>
      <w:rFonts w:ascii="Arial" w:cs="Arial" w:eastAsia="Arial" w:hAnsi="Arial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2026-06-30T11:49:32.034Z</dcterms:created>
  <dcterms:modified xsi:type="dcterms:W3CDTF">2026-06-30T11:49:32.034Z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