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Стандарт харднинга систем — Virtuozzo HS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System Hardening Standard (Hypervisor &amp; Guest OS)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2.2 / Appendix A1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PCI-STD-02-HARDEN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Virtualization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Узлы Virtuozzo HS; изоляция тенантов-CDE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Стандарт устанавливает требования к безопасной конфигурации (харднингу) платформы виртуализации Virtuozzo Hybrid Server, гостевых операционных систем (VM/контейнеры) и сопутствующего системного ПО. Стандарт разработан в рамках повторной сертификации, вызванной заменой платформы виртуализации с VMware vSphere на Virtuozzo, и заменяет ранее действовавший стандарт харднинга ESXi. Обеспечивает соответствие Требованию 2 и Приложению A1 PCI DSS v4.0.1.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4 узла Virtuozzo Hybrid Server, панель управления Virtuozzo, распределённое хранилище Virtuozzo Storage, гостевые VM и контейнеры в составе CDE, а также системные службы узлов (SSH, агенты мониторинга, антивирус).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Общие принципы харднинга (Req. 2.2)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Базироваться на признанных отраслевых рекомендациях (CIS Benchmarks для соответствующего дистрибутива ОС, рекомендации вендора Virtuozzo).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Удалять или отключать всё, что не требуется для функционирования (сервисы, протоколы, учётные записи, демоны).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Изменять все значения по умолчанию до ввода системы в эксплуатацию.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Применять принцип одной основной функции на сервер либо обеспечивать изоляцию функций средствами виртуализации (Req. 2.2.3).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Управлять системами только по защищённым протоколам через выделенную сеть управления (out-of-band).</w:t>
      </w:r>
    </w:p>
    <w:p>
      <w:pPr>
        <w:pStyle w:val="Heading1"/>
      </w:pPr>
      <w:r>
        <w:t xml:space="preserve">4. Удаление значений по умолчанию (Req. 2.2.2)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Сменить все пароли по умолчанию на узлах, в панели управления Virtuozzo, на BMC/IPMI и сетевых интерфейсах управления.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Удалить или отключить неиспользуемые предустановленные учётные записи.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Сменить дефолтные SNMP community strings; по возможности использовать SNMPv3.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Удалить демонстрационные/тестовые данные и примеры конфигураций.</w:t>
      </w:r>
    </w:p>
    <w:p>
      <w:pPr>
        <w:pStyle w:val="Heading1"/>
      </w:pPr>
      <w:r>
        <w:t xml:space="preserve">5. Минимизация сервисов и функций (Req. 2.2.4)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Оставить включёнными только необходимые сервисы, протоколы и демоны.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Для каждого включённого небезопасного сервиса задокументировать обоснование и компенсирующие меры (Req. 2.2.5).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Отключить неиспользуемые сетевые интерфейсы и порты на узлах.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Настроить системные параметры безопасности (sysctl/kernel) согласно бенчмарку.</w:t>
      </w:r>
    </w:p>
    <w:p>
      <w:pPr>
        <w:pStyle w:val="Heading1"/>
      </w:pPr>
      <w:r>
        <w:t xml:space="preserve">6. Харднинг гипервизора и изоляция (Req. 2.2 / A1)</w:t>
      </w:r>
    </w:p>
    <w:p>
      <w:pPr>
        <w:pStyle w:val="Heading2"/>
      </w:pPr>
      <w:r>
        <w:t xml:space="preserve">6.1. Узлы Virtuozzo HS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Ограничить доступ к гипервизору и панели управления только администраторам через bastion с MFA.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Включить контроль целостности критичных файлов узла (FIM, см. стандарт логирования).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Настроить безопасную загрузку и обновление образов узлов из доверенного репозитория.</w:t>
      </w:r>
    </w:p>
    <w:p>
      <w:pPr>
        <w:pStyle w:val="Heading2"/>
      </w:pPr>
      <w:r>
        <w:t xml:space="preserve">6.2. Изоляция гостей (multi-tenant, A1)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Обеспечить сетевую изоляцию между тенантами средствами Virtuozzo vNetwork/VLAN и VDOM на FortiGate.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Гостевые ресурсы (CPU, память, хранилище) разграничены между VM/CT; запрет доступа одного тенанта к данным другого.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CDE-нагрузки размещаются в выделенных сетевых сегментах, отделённых от out-of-scope tenant-нагрузок.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Раздельное логирование действий по тенантам (Req. A1.2).</w:t>
      </w:r>
    </w:p>
    <w:p>
      <w:pPr>
        <w:pStyle w:val="Heading1"/>
      </w:pPr>
      <w:r>
        <w:t xml:space="preserve">7. Харднинг гостевых ОС (Req. 2.2)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Применять CIS-бенчмарк, соответствующий дистрибутиву гостевой ОС.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Установить и настроить антивирус (Req. 5), агент сбора логов, агент сканирования уязвимостей.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Настроить локальный firewall гостя в дополнение к сетевой сегментации.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Управление учётными записями и привилегиями согласно политике доступа (Req. 7, 8).</w:t>
      </w:r>
    </w:p>
    <w:p>
      <w:pPr>
        <w:pStyle w:val="Heading1"/>
      </w:pPr>
      <w:r>
        <w:t xml:space="preserve">8. Управление конфигурацией и контроль соответствия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Конфигурации описываются как код (IaC) и хранятся в системе контроля версий, где это применимо.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Регулярная проверка фактической конфигурации на соответствие стандарту (configuration drift).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Базовые образы (golden images) для узлов и гостей поддерживаются в актуальном состоянии и проходят харднинг до развёртывания.</w:t>
      </w:r>
    </w:p>
    <w:p>
      <w:pPr>
        <w:pStyle w:val="Heading1"/>
      </w:pPr>
      <w:r>
        <w:t xml:space="preserve">9. Криптография в конфигурации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Использовать стойкие алгоритмы и протоколы для управляющих каналов (SSH, TLS) — детали в стандарте шифрования передачи (Req. 4) и криптоархитектуре (Req. 3.6/3.7).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Шифрование данных at-rest на Virtuozzo Storage (Req. 3.5).</w:t>
      </w:r>
    </w:p>
    <w:p>
      <w:pPr>
        <w:pStyle w:val="Heading1"/>
      </w:pPr>
      <w:r>
        <w:t xml:space="preserve">10. Чек-лист применения стандарта (на каждый узел/образ)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Контроль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Узел/Образ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Статус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Пароли по умолчанию сменены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Неиспользуемые учётные записи удалены/отключены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Включены только необходимые сервисы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только через out-of-band + MFA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FIM активирован на узле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Антивирус установлен (гость)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CIS-бенчмарк применён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тенантов проверена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отправляются в SIEM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at-rest включено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11. Связь с миграцией VMware → Virtuozzo</w:t>
      </w:r>
    </w:p>
    <w:p>
      <w:pPr>
        <w:spacing w:after="120"/>
      </w:pPr>
      <w:r>
        <w:t xml:space="preserve">Прежний стандарт харднинга ESXi выведен из применения. Все узлы платформы пересозданы на Virtuozzo HS и должны пройти полную процедуру харднинга по настоящему стандарту до включения в CDE. Факт применения фиксируется в чек-листе раздела 10 и в change-record миграции (Req. 6.5.1).</w:t>
      </w:r>
    </w:p>
    <w:p>
      <w:pPr>
        <w:pStyle w:val="Heading2"/>
      </w:pPr>
      <w:r>
        <w:t xml:space="preserve">11.1. Харднинг панели управления Virtuozzo (замена vCloud Director)</w:t>
      </w:r>
    </w:p>
    <w:p>
      <w:pPr>
        <w:spacing w:after="120"/>
      </w:pPr>
      <w:r>
        <w:t xml:space="preserve">Функции портала самообслуживания и оркестрации тенантов, ранее выполнявшиеся vCloud Director, перешли на штатную панель управления Virtuozzo. Панель — новый компонент CDE-периметра с привилегированным доступом к гипервизору и тенантам, поэтому подлежит обязательному харднингу: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Смена всех учётных данных по умолчанию; удаление демо/тестовых аккаунтов.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Доступ к панели и её API — только через bastion с MFA, из сегмента MGMT.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TLS для веб-интерфейса и API панели (Req. 4.2.1); стойкие наборы шифров.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RBAC: разграничение прав администраторов оператора и тенантов (Req. 7).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Логирование действий панели (создание/изменение тенантов, ВМ, прав) → SIEM, раздельно по тенантам (Req. 10, A1.2).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Если портал кастомизирован собственным кодом — применяется безопасный SDLC (Req. 6.2).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Шаблоны/образы ВМ, выдаваемые тенантам через панель, проходят харднинг до публикации в каталоге.</w:t>
      </w:r>
    </w:p>
    <w:p>
      <w:pPr>
        <w:pStyle w:val="Heading1"/>
      </w:pPr>
      <w:r>
        <w:t xml:space="preserve">12. Харднинг в модели множественных CDE (multi-CDE)</w:t>
      </w:r>
    </w:p>
    <w:p>
      <w:pPr>
        <w:spacing w:after="120"/>
      </w:pPr>
      <w:r>
        <w:t xml:space="preserve">Кластер Virtuozzo обслуживает несколько независимых тенантов-CDE. Харднинг платформы обеспечивает изоляцию каждого CDE от остальных: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Вычислительная изоляция VM/CT разных тенантов-CDE средствами гипервизора; запрет cross-CDE доступа.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Раздельные тома/namespace Virtuozzo Storage на тенант-CDE; шифрование томов at-rest.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Панель управления Virtuozzo разграничивает доступ и не допускает cross-CDE операций тенантов.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Базовые образы/шаблоны проходят харднинг до выдачи в любой тенант-CDE.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Стандарт харднинга систем — Virtuozzo HS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2026-06-30T11:49:30.166Z</dcterms:created>
  <dcterms:modified xsi:type="dcterms:W3CDTF">2026-06-30T11:49:30.167Z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