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0"/>
        <w:jc w:val="center"/>
      </w:pPr>
      <w:r>
        <w:rPr>
          <w:color w:val="888888"/>
          <w:sz w:val="24"/>
          <w:szCs w:val="24"/>
        </w:rPr>
        <w:t xml:space="preserve">Оператор IaaS</w:t>
      </w:r>
    </w:p>
    <w:p>
      <w:pPr>
        <w:spacing w:after="60"/>
        <w:jc w:val="center"/>
      </w:pPr>
      <w:r>
        <w:rPr>
          <w:b/>
          <w:bCs/>
          <w:color w:val="0B4F6C"/>
          <w:sz w:val="40"/>
          <w:szCs w:val="40"/>
        </w:rPr>
        <w:t xml:space="preserve">Стандарт конфигурации NSC — FortiGate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Network Security Controls Configuration Standard</w:t>
      </w:r>
    </w:p>
    <w:p>
      <w:pPr>
        <w:spacing w:after="300"/>
        <w:jc w:val="center"/>
      </w:pPr>
      <w:r>
        <w:rPr>
          <w:sz w:val="22"/>
          <w:szCs w:val="22"/>
        </w:rPr>
        <w:t xml:space="preserve">Соответствие PCI DSS v4.0.1 · Req. 1.1 / 1.2 / 1.3 / 1.4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Атрибут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Значение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Идентификатор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PCI-STD-01-NSC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 (черновик)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Draft — заполнить владельцем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Владелец документа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Network Lead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Утверждающий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CISO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утверждения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[ДД.ММ.ГГГГ]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Дата следующего пересмотра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 позднее чем через 12 мес. (Req. 12.1.1)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Классификация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Область действия (scope)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FortiGate 1800F HA, VDOM на каждый тенант-CDE</w:t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История изменений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800"/>
        <w:gridCol w:w="3000"/>
        <w:gridCol w:w="3360"/>
      </w:tblGrid>
      <w:tr>
        <w:trPr>
          <w:tblHeader/>
        </w:trP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Версия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Автор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Описание изменений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[ФИО]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Первичная редакция в рамках re-assessment (VMware→Virtuozzo)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</w:p>
    <w:p>
      <w:pPr>
        <w:pStyle w:val="Heading2"/>
      </w:pPr>
      <w:r>
        <w:t xml:space="preserve">Утверждение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Роль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ФИО / Подпись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Подготовил (владелец)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Согласовал (Security Officer)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Утвердил (CISO/CEO)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Назначение</w:t>
      </w:r>
    </w:p>
    <w:p>
      <w:pPr>
        <w:spacing w:after="120"/>
      </w:pPr>
      <w:r>
        <w:t xml:space="preserve">Стандарт устанавливает требования к конфигурации сетевых средств защиты (Network Security Controls, NSC) — двух межсетевых экранов FortiGate 1800F в кластере высокой доступности (FGCP HA, active-passive), которые являются ИНФРАСТРУКТУРНЫМ контролем оператора (Infrastructure Service Provider). NSC обеспечивают периметр платформы, сегментацию и изоляцию множества независимых сред данных карт (CDE) тенантов друг от друга. Стандарт обеспечивает соответствие Требованию 1 PCI DSS v4.0.1 и входит в объём ROC оператора.</w:t>
      </w:r>
    </w:p>
    <w:p>
      <w:pPr>
        <w:spacing w:after="120"/>
      </w:pPr>
      <w:r>
        <w:rPr>
          <w:b/>
          <w:bCs/>
        </w:rPr>
        <w:t xml:space="preserve">Разграничение: NSC как инфраструктурный контроль управляется оператором и покрывается его ROC/AOC. Сетевые правила ВНУТРИ каждого CDE (между компонентами одного тенанта) — зона ответственности соответствующего тенанта в его собственном ROC.</w:t>
      </w:r>
    </w:p>
    <w:p>
      <w:pPr>
        <w:pStyle w:val="Heading1"/>
      </w:pPr>
      <w:r>
        <w:t xml:space="preserve">2. Область действия</w:t>
      </w:r>
    </w:p>
    <w:p>
      <w:pPr>
        <w:spacing w:after="120"/>
      </w:pPr>
      <w:r>
        <w:t xml:space="preserve">Оба узла FortiGate 1800F, все настроенные VDOM (EDGE, DMZ, MGMT, общие сервисы и по одному VDOM на каждый тенант-CDE), межсетевые правила, политики маршрутизации между VDOM, объекты адресов/сервисов и профили безопасности (IPS, AV, app-control, веб-фильтрация). Объект стандарта — инфраструктурная сегментация платформы и изоляция тенантов-CDE; внутренняя сетевая конфигурация в пределах одного CDE остаётся за тенантом.</w:t>
      </w:r>
    </w:p>
    <w:p>
      <w:pPr>
        <w:spacing w:after="120"/>
      </w:pPr>
      <w:r>
        <w:rPr>
          <w:i/>
          <w:iCs/>
        </w:rPr>
        <w:t xml:space="preserve">Терминология: «тенанты-CDE» (CDE-1 … CDE-N) — это МНОЖЕСТВЕННЫЕ независимые среды данных карт, по одной на каждого тенанта; каждая имеет собственный охват и собственный ROC. Оператор обслуживает их как общую инфраструктуру и обеспечивает изоляцию между ними.</w:t>
      </w:r>
    </w:p>
    <w:p>
      <w:pPr>
        <w:pStyle w:val="Heading1"/>
      </w:pPr>
      <w:r>
        <w:t xml:space="preserve">3. Архитектура сегментации (VDOM)</w:t>
      </w:r>
    </w:p>
    <w:p>
      <w:pPr>
        <w:spacing w:after="120"/>
      </w:pPr>
      <w:r>
        <w:t xml:space="preserve">Каждый VDOM является независимым виртуальным межсетевым экраном с собственной таблицей маршрутизации и набором политик. Трафик между VDOM проходит только через явно настроенные inter-VDOM links и разрешающие правила. Прозрачная маршрутизация между сегментами запрещена. В модели Infrastructure SP каждому тенанту-CDE выделяется собственный VDOM.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400"/>
        <w:gridCol w:w="396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VDOM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Назначение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Ключевые ограничения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EDGE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Терминация Internet-аплинков (ISP-A/B), периметровый NGFW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IPS/AV/app-control; inbound только через VIP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DMZ (при наличии)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Публичные фронты платформы, reverse-proxy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 хранит PAN; в тенант-CDE только нужные порты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CDE-tenant-1..N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 одному VDOM на каждый тенант-CDE (среда тенанта)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Deny-by-default; IPS; deny-all между тенантами-CDE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MGMT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Управление платформой (out-of-band), сервисы безопасности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Доступ только через bastion+MFA; изоляция от Internet и тенантов</w:t>
            </w:r>
          </w:p>
        </w:tc>
      </w:tr>
    </w:tbl>
    <w:p>
      <w:pPr>
        <w:spacing w:after="120"/>
      </w:pPr>
      <w:r>
        <w:rPr>
          <w:b/>
          <w:bCs/>
        </w:rPr>
        <w:t xml:space="preserve">Каждый VDOM CDE-tenant соответствует одному независимому CDE; правила внутри него относятся к зоне ответственности тенанта, а изоляция этого VDOM от других — к зоне ответственности оператора (инфраструктура).</w:t>
      </w:r>
    </w:p>
    <w:p>
      <w:pPr>
        <w:pStyle w:val="Heading1"/>
      </w:pPr>
      <w:r>
        <w:t xml:space="preserve">4. Требования к конфигурации (Req. 1.2)</w:t>
      </w:r>
    </w:p>
    <w:p>
      <w:pPr>
        <w:pStyle w:val="Heading2"/>
      </w:pPr>
      <w:r>
        <w:t xml:space="preserve">4.1. Базовая конфигурация и стандарты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Документированный базовый стандарт конфигурации для обоих узлов: версия FortiOS, набор включённых функций, параметры HA (Req. 1.2.1).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Идентичная конфигурация VDOM и политик на обоих узлах кластера; синхронизация через FGCP.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Запрет небезопасных сервисов, протоколов и портов; для необходимых небезопасных сервисов — документированное обоснование и компенсирующие меры (Req. 1.2.5).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Все изменения конфигурации проходят через процесс управления изменениями (Req. 1.2.2 / 6.5.1).</w:t>
      </w:r>
    </w:p>
    <w:p>
      <w:pPr>
        <w:pStyle w:val="Heading2"/>
      </w:pPr>
      <w:r>
        <w:t xml:space="preserve">4.2. Политики межсетевого экранирования (Req. 1.3 / 1.4)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Принцип deny-by-default: явно разрешается только необходимый трафик, всё остальное блокируется и логируется (Req. 1.4.1).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Ограничение входящего и исходящего трафика CDE строго необходимым (Req. 1.3.1 / 1.3.2).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Запрет прямого доступа из недоверенных сетей в CDE; доступ только через DMZ (Req. 1.4.4).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Анти-спуфинг: блокировка поддельных внутренних адресов из недоверенных сетей (Req. 1.4.3).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Раскрытие внутренних IP-адресов наружу запрещено (Req. 1.4.5).</w:t>
      </w:r>
    </w:p>
    <w:p>
      <w:pPr>
        <w:pStyle w:val="Heading2"/>
      </w:pPr>
      <w:r>
        <w:t xml:space="preserve">4.3. Матрица inter-VDOM политик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000"/>
        <w:gridCol w:w="376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Источник → Назначение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Разрешено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EDGE → DMZ/тенант-VIP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443/tcp (через VIP)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Публикация сервисов тенанта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EDGE → CDE-tenant-X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Только нужные порты тенанта X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Минимально необходимый набор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CDE-tenant-X → внешн.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established/related, acquirer X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Ответный/авторизационный трафик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MGMT → all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Через bastion, с аудитом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Привилегированный доступ оператора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CDE-tenant-X ⇄ CDE-tenant-Y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ЗАПРЕЩЕНО (deny-all)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Полная изоляция между CDE, deny+log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any → Internet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Whitelisted egress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Контролируемый исходящий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Остальное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DENY + log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Правило по умолчанию</w:t>
            </w:r>
          </w:p>
        </w:tc>
      </w:tr>
    </w:tbl>
    <w:p>
      <w:pPr>
        <w:pStyle w:val="Heading1"/>
      </w:pPr>
      <w:r>
        <w:t xml:space="preserve">5. Профили безопасности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IPS включён на каждом VDOM CDE-tenant и на периметре EDGE; сигнатуры обновляются регулярно (поддержка Req. 11.5.1).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Антивирус и контроль приложений на периметре и в DMZ (при наличии).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Веб-фильтрация и защита от DDoS на EDGE.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Логирование срабатываний профилей в SIEM оператора (платформенный уровень).</w:t>
      </w:r>
    </w:p>
    <w:p>
      <w:pPr>
        <w:pStyle w:val="Heading1"/>
      </w:pPr>
      <w:r>
        <w:t xml:space="preserve">6. Логирование и мониторинг (Req. 1.2.6)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Все события NSC (разрешения, блокировки, изменения конфигурации, события HA, заблокированный межтенантный трафик) направляются в централизованный SIEM оператора.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Эти события — платформенные логи оператора (входят в его ROC); внутренние логи каждого CDE ведёт тенант.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Синхронизация времени по NTP (Req. 10.6).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Доступ к управлению FortiGate — только из MGMT VDOM через bastion с MFA.</w:t>
      </w:r>
    </w:p>
    <w:p>
      <w:pPr>
        <w:pStyle w:val="Heading1"/>
      </w:pPr>
      <w:r>
        <w:t xml:space="preserve">7. Обзор набора правил (Req. 1.2.7)</w:t>
      </w:r>
    </w:p>
    <w:p>
      <w:pPr>
        <w:spacing w:after="120"/>
      </w:pPr>
      <w:r>
        <w:t xml:space="preserve">Набор правил всех VDOM пересматривается не реже одного раза в 6 месяцев. Цель обзора — удаление избыточных, устаревших и неиспользуемых правил, проверка соответствия принципу минимальной необходимости. Результаты обзора документируются (дата, исполнитель, выявленные расхождения, принятые меры).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2280"/>
        <w:gridCol w:w="228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Дата обзора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Исполнитель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Выявлено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Действия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[дата]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[ФИО]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[кол-во правил к удалению]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[выполнено/план]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pStyle w:val="Heading1"/>
      </w:pPr>
      <w:r>
        <w:t xml:space="preserve">8. Высокая доступность (HA)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Режим FGCP active-passive; выделенные heartbeat-интерфейсы между узлами.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Регулярная проверка синхронизации конфигурации и отработки переключения.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Резервное копирование конфигурации обоих узлов с версионированием.</w:t>
      </w:r>
    </w:p>
    <w:p>
      <w:pPr>
        <w:pStyle w:val="Heading1"/>
      </w:pPr>
      <w:r>
        <w:t xml:space="preserve">9. Управление изменениями при миграции на Virtuozzo</w:t>
      </w:r>
    </w:p>
    <w:p>
      <w:pPr>
        <w:spacing w:after="120"/>
      </w:pPr>
      <w:r>
        <w:t xml:space="preserve">В рамках перехода со стека VMware (vSphere + vCloud Director + NSX-T) на Virtuozzo пересмотрены сетевые объекты и правила. Сегментация CDE/tenant, ранее реализованная средствами NSX-T (overlay + Distributed Firewall) и логическими конструкциями vCloud Director, теперь обеспечивается VDOM на FortiGate совместно с VLAN Virtuozzo.</w:t>
      </w:r>
    </w:p>
    <w:p>
      <w:pPr>
        <w:pStyle w:val="Heading2"/>
      </w:pPr>
      <w:r>
        <w:t xml:space="preserve">9.1. Замена NSX-T Distributed Firewall</w:t>
      </w:r>
    </w:p>
    <w:p>
      <w:pPr>
        <w:spacing w:after="120"/>
      </w:pPr>
      <w:r>
        <w:t xml:space="preserve">NSX-T DFW фильтровал трафик east-west на уровне vNIC каждой ВМ, включая трафик между ВМ внутри одного логического сегмента. VDOM на FortiGate инспектирует трафик north-south и между VLAN, но по умолчанию не контролирует трафик внутри одного VLAN. Для сохранения эквивалентного уровня изоляции применяется один или несколько подходов: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Разнесение ранее микросегментированных нагрузок по отдельным VLAN, чтобы межмашинный трафик проходил через FortiGate.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Локальные host-based firewall на гостевых ОС для контроля east-west внутри сегмента.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Документированное обоснование (с анализом рисков), что внутрисегментная изоляция не требуется для однородных равнодоверенных компонентов CDE.</w:t>
      </w:r>
    </w:p>
    <w:p>
      <w:pPr>
        <w:spacing w:after="120"/>
      </w:pPr>
      <w:r>
        <w:rPr>
          <w:b/>
          <w:bCs/>
        </w:rPr>
        <w:t xml:space="preserve">Выбранный подход подтверждается тестом сегментации (Req. 11.4.5/11.4.6) заново после миграции — как между сегментами, так и внутри сегментов, где ранее работал DFW.</w:t>
      </w:r>
    </w:p>
    <w:p>
      <w:pPr>
        <w:pStyle w:val="Heading1"/>
      </w:pPr>
      <w:r>
        <w:t xml:space="preserve">10. Сегментация в модели множественных CDE (multi-CDE)</w:t>
      </w:r>
    </w:p>
    <w:p>
      <w:pPr>
        <w:spacing w:after="120"/>
      </w:pPr>
      <w:r>
        <w:t xml:space="preserve">Каждый тенант является самостоятельным CDE и размещается в собственном выделенном VLAN, обслуживаемом собственным VDOM на FortiGate. Между VDOM разных тенантов-CDE действует deny-by-default; межтенантный трафик по умолчанию запрещён, логируется и физически проходит через инспекцию FortiGate (общий L2-домен между CDE отсутствует).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Один VDOM = один тенант-CDE; правила каждого VDOM минимизированы под нужды соответствующего CDE.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Граница между любыми двумя тенантами-CDE — это граница между регулируемыми платёжными окружениями; компрометация = доступ из одного CDE в другой.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Поскольку каждый CDE в своём VLAN, межтенантный трафик не находится внутри одного VLAN и всегда подпадает под политики FortiGate (снимает gap утраты NSX-T DFW для границы между CDE).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Обзор правил (1.2.7) и тест сегментации (11.4.5) выполняются с учётом всех границ между тенантами-CDE.</w:t>
      </w:r>
    </w:p>
    <w:p>
      <w:pPr>
        <w:pStyle w:val="Heading2"/>
      </w:pPr>
      <w:r>
        <w:t xml:space="preserve">10.1. Принцип запрета межтенантного взаимодействия (deny-all)</w:t>
      </w:r>
    </w:p>
    <w:p>
      <w:pPr>
        <w:spacing w:after="120"/>
      </w:pPr>
      <w:r>
        <w:t xml:space="preserve">Взаимодействие между тенантами-CDE запрещено ПОЛНОСТЬЮ (deny-all), а не просто по умолчанию. Поскольку каждый тенант является независимым CDE, любой разрешённый поток между двумя тенантами означал бы переток данных одного платёжного окружения в другое, что объединило бы их в единый охват и разрушило бы модель раздельных CDE.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Между любой парой тенантов-CDE НЕ настраивается ни одного разрешающего правила (east-west tenant-to-tenant = deny).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Исключения недопустимы без формальной переоценки охвата и согласования с QSA; появление потока между CDE = significant change.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Весь заблокированный межтенантный трафик логируется в SIEM как событие безопасности (попытка cross-CDE доступа).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Каждый тенант-CDE взаимодействует только вертикально: со своими внешними сторонами (acquirer) и общими connected-сервисами по строго необходимым потокам; горизонтально (с другими тенантами) — никогда.</w:t>
      </w:r>
    </w:p>
    <w:p>
      <w:pPr>
        <w:pStyle w:val="Heading2"/>
      </w:pPr>
      <w:r>
        <w:t xml:space="preserve">10.2. Матрица межтенантного взаимодействия</w:t>
      </w:r>
    </w:p>
    <w:p>
      <w:pPr>
        <w:spacing w:after="120"/>
      </w:pPr>
      <w:r>
        <w:t xml:space="preserve">Матрица tenant-to-tenant: по диагонали — внутритенантный трафик (в зоне самого CDE), вне диагонали — всегда DENY.</w:t>
      </w:r>
    </w:p>
    <w:tbl>
      <w:tblPr>
        <w:tblW w:type="dxa" w:w="74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850"/>
        <w:gridCol w:w="1850"/>
        <w:gridCol w:w="1850"/>
      </w:tblGrid>
      <w:tr>
        <w:trPr>
          <w:tblHeader/>
        </w:trP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От \ К</w:t>
            </w:r>
          </w:p>
        </w:tc>
        <w:tc>
          <w:tcPr>
            <w:tcW w:type="dxa" w:w="1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Tenant-CDE 1</w:t>
            </w:r>
          </w:p>
        </w:tc>
        <w:tc>
          <w:tcPr>
            <w:tcW w:type="dxa" w:w="1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Tenant-CDE 2</w:t>
            </w:r>
          </w:p>
        </w:tc>
        <w:tc>
          <w:tcPr>
            <w:tcW w:type="dxa" w:w="1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Tenant-CDE N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Tenant-CDE 1</w:t>
            </w:r>
          </w:p>
        </w:tc>
        <w:tc>
          <w:tcPr>
            <w:tcW w:type="dxa" w:w="1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(внутри CDE-1)</w:t>
            </w:r>
          </w:p>
        </w:tc>
        <w:tc>
          <w:tcPr>
            <w:tcW w:type="dxa" w:w="1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DENY + log</w:t>
            </w:r>
          </w:p>
        </w:tc>
        <w:tc>
          <w:tcPr>
            <w:tcW w:type="dxa" w:w="1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DENY + log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Tenant-CDE 2</w:t>
            </w:r>
          </w:p>
        </w:tc>
        <w:tc>
          <w:tcPr>
            <w:tcW w:type="dxa" w:w="1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DENY + log</w:t>
            </w:r>
          </w:p>
        </w:tc>
        <w:tc>
          <w:tcPr>
            <w:tcW w:type="dxa" w:w="1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(внутри CDE-2)</w:t>
            </w:r>
          </w:p>
        </w:tc>
        <w:tc>
          <w:tcPr>
            <w:tcW w:type="dxa" w:w="1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DENY + log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Tenant-CDE N</w:t>
            </w:r>
          </w:p>
        </w:tc>
        <w:tc>
          <w:tcPr>
            <w:tcW w:type="dxa" w:w="1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DENY + log</w:t>
            </w:r>
          </w:p>
        </w:tc>
        <w:tc>
          <w:tcPr>
            <w:tcW w:type="dxa" w:w="1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DENY + log</w:t>
            </w:r>
          </w:p>
        </w:tc>
        <w:tc>
          <w:tcPr>
            <w:tcW w:type="dxa" w:w="185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(внутри CDE-N)</w:t>
            </w:r>
          </w:p>
        </w:tc>
      </w:tr>
    </w:tbl>
    <w:p>
      <w:pPr>
        <w:spacing w:after="120"/>
      </w:pPr>
      <w:r>
        <w:rPr>
          <w:b/>
          <w:bCs/>
        </w:rPr>
        <w:t xml:space="preserve">Разрешённые направления для каждого тенанта-CDE (вертикальные, минимально необходимые):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000"/>
        <w:gridCol w:w="3760"/>
      </w:tblGrid>
      <w:tr>
        <w:trPr>
          <w:tblHeader/>
        </w:trP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Направление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Статус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Tenant-CDE → свой acquirer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Разрешено (TLS)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Только нужные адреса/порты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Tenant-CDE → connected (NTP/AAA/логи)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Разрешено (мин.)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Строго необходимые сервисы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Tenant-CDE ⇄ другой Tenant-CDE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DENY (всегда)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Запрет полный, исключений нет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Tenant-CDE → Internet (прочее)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DENY по умолчанию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10"/>
              <w:bottom w:type="dxa" w:w="60"/>
              <w:right w:type="dxa" w:w="11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Только whitelisted egress при необходимости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5"/>
        <w:szCs w:val="15"/>
      </w:rPr>
      <w:t xml:space="preserve">Стр. </w:t>
    </w:r>
    <w:r>
      <w:rPr>
        <w:color w:val="888888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888888"/>
        <w:sz w:val="15"/>
        <w:szCs w:val="15"/>
      </w:rPr>
      <w:t xml:space="preserve">Стандарт конфигурации NSC — FortiGate — PCI DSS v4.0.1 (Confidential)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BA0D7" w:sz="6" w:space="4"/>
      </w:pBdr>
      <w:spacing w:after="140" w:before="240"/>
      <w:outlineLvl w:val="0"/>
    </w:pPr>
    <w:rPr>
      <w:rFonts w:ascii="Arial" w:cs="Arial" w:eastAsia="Arial" w:hAnsi="Arial"/>
      <w:b/>
      <w:bCs/>
      <w:color w:val="0B4F6C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70" w:before="120"/>
      <w:outlineLvl w:val="2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2026-06-30T11:49:29.881Z</dcterms:created>
  <dcterms:modified xsi:type="dcterms:W3CDTF">2026-06-30T11:49:29.883Z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