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Политика управления доступом и аутентификации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Access Control &amp; Authentication Policy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7 / 8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PCI-POL-07-08-AC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IAM Lead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Учётные записи в разрезе тенантов-CDE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Политика устанавливает требования к управлению доступом и аутентификации пользователей и систем в среде данных держателей карт (CDE), обеспечивая соответствие Требованиям 7 и 8 PCI DSS v4.0.1.</w:t>
      </w:r>
    </w:p>
    <w:p>
      <w:pPr>
        <w:pStyle w:val="Heading1"/>
      </w:pPr>
      <w:r>
        <w:t xml:space="preserve">2. Область действия</w:t>
      </w:r>
    </w:p>
    <w:p>
      <w:pPr>
        <w:spacing w:after="120"/>
      </w:pPr>
      <w:r>
        <w:t xml:space="preserve">Все учётные записи (персональные, административные, сервисные, технические) и все системы CDE: узлы Virtuozzo HS, панель управления, FortiGate, гостевые VM/CT с CHD, БД, SIEM, bastion/PAM, серверы аутентификации.</w:t>
      </w:r>
    </w:p>
    <w:p>
      <w:pPr>
        <w:spacing w:after="120"/>
      </w:pPr>
      <w:r>
        <w:rPr>
          <w:i/>
          <w:iCs/>
        </w:rPr>
        <w:t xml:space="preserve">Терминология: «тенанты-CDE» (CDE-1 … CDE-N) — это МНОЖЕСТВЕННЫЕ независимые среды данных карт, по одной на каждого тенанта; каждая имеет собственный охват и собственный ROC. Оператор обслуживает их как общую инфраструктуру и обеспечивает изоляцию между ними.</w:t>
      </w:r>
    </w:p>
    <w:p>
      <w:pPr>
        <w:pStyle w:val="Heading1"/>
      </w:pPr>
      <w:r>
        <w:t xml:space="preserve">3. Принципы управления доступом (Req. 7)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Наименьшие привилегии: пользователю предоставляется минимальный набор прав, необходимый для выполнения обязанностей (Req. 7.2.1).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Служебная необходимость (need-to-know): доступ к CHD предоставляется только при обоснованной потребности.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Ролевая модель (RBAC): права назначаются через роли, а не индивидуально (Req. 7.2.2).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Запрет по умолчанию: доступ запрещён, если явно не разрешён (Req. 7.2.3).</w:t>
      </w:r>
    </w:p>
    <w:p>
      <w:pPr>
        <w:pStyle w:val="Heading1"/>
      </w:pPr>
      <w:r>
        <w:t xml:space="preserve">4. Управление учётными записями (Req. 8.2)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Каждому пользователю присваивается уникальный идентификатор до предоставления доступа (Req. 8.2.1).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Общие, групповые и generic-учётные записи запрещены; при технической необходимости — управляются и обосновываются (Req. 8.2.2).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Управление жизненным циклом учётных записей: создание, изменение, отзыв при увольнении/смене роли — в течение установленного срока (Req. 8.2.4/8.2.5).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Неактивные учётные записи отключаются не позднее 90 дней (Req. 8.2.6).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Доступ третьих сторон/подрядчиков включается только на время использования и контролируется (Req. 8.2.7).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Сессии: повторная аутентификация после 15 минут бездействия (Req. 8.2.8).</w:t>
      </w:r>
    </w:p>
    <w:p>
      <w:pPr>
        <w:pStyle w:val="Heading1"/>
      </w:pPr>
      <w:r>
        <w:t xml:space="preserve">5. Аутентификация (Req. 8.3)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Стойкая аутентификация: пароль/passphrase, либо криптографический/биометрический фактор (Req. 8.3.1).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Передача и хранение аутентификационных данных в защищённом (зашифрованном) виде (Req. 8.3.2).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Парольная политика: минимум 12 символов, буквы и цифры; смена при компрометации; запрет повторного использования последних 4 паролей (Req. 8.3.6/8.3.7).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Альтернатива периодической смене — динамический анализ состояния безопасности учётной записи (Req. 8.3.9), при применимости.</w:t>
      </w:r>
    </w:p>
    <w:p>
      <w:pPr>
        <w:pStyle w:val="Heading1"/>
      </w:pPr>
      <w:r>
        <w:t xml:space="preserve">6. Многофакторная аутентификация (Req. 8.4 / 8.5)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MFA обязательна для всего удалённого доступа к сети организации (Req. 8.4.1).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MFA обязательна для ВСЕГО доступа в CDE, включая внутренних непривилегированных пользователей (Req. 8.4.2).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MFA обязательна для всего административного доступа (Req. 8.4.3).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Система MFA устойчива к повторному воспроизведению, не обходится, требует минимум два независимых фактора (Req. 8.5.1).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Административный доступ к платформе Virtuozzo, FortiGate и инфраструктуре управления — только через bastion/PAM с MFA.</w:t>
      </w:r>
    </w:p>
    <w:p>
      <w:pPr>
        <w:pStyle w:val="Heading1"/>
      </w:pPr>
      <w:r>
        <w:t xml:space="preserve">7. Управление привилегированными и сервисными учётными записями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Привилегированный доступ предоставляется по принципу just-in-time, где возможно, и протоколируется.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Сервисные/системные учётные записи (Req. 8.6): пароли не интерактивны, хранятся защищённо, ротируются, не используются интерактивно.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Все привилегированные действия логируются в SIEM (Req. 10.2.1).</w:t>
      </w:r>
    </w:p>
    <w:p>
      <w:pPr>
        <w:pStyle w:val="Heading1"/>
      </w:pPr>
      <w:r>
        <w:t xml:space="preserve">8. Периодический обзор доступа (Req. 7.2.5 / 8.2.x)</w:t>
      </w:r>
    </w:p>
    <w:p>
      <w:pPr>
        <w:spacing w:after="120"/>
      </w:pPr>
      <w:r>
        <w:t xml:space="preserve">Для поставщика услуг обзор учётных записей и прав доступа проводится не реже одного раза в 6 месяцев. Проверяется соответствие прав текущим обязанностям, корректность ролей, отсутствие лишних и неактивных учётных записей.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80"/>
        <w:gridCol w:w="248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 обзора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Объём (системы)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Выявлено/Действия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[список]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[результаты]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9. Физический и логический доступ</w:t>
      </w:r>
    </w:p>
    <w:p>
      <w:pPr>
        <w:spacing w:after="120"/>
      </w:pPr>
      <w:r>
        <w:t xml:space="preserve">Логический доступ дополняется контролем физического доступа в ЦОД (Req. 9). Доступ к консолям управления и носителям ограничен; см. Политику физической безопасности.</w:t>
      </w:r>
    </w:p>
    <w:p>
      <w:pPr>
        <w:pStyle w:val="Heading1"/>
      </w:pPr>
      <w:r>
        <w:t xml:space="preserve">10. Связь с миграцией VMware → Virtuozzo</w:t>
      </w:r>
    </w:p>
    <w:p>
      <w:pPr>
        <w:spacing w:after="120"/>
      </w:pPr>
      <w:r>
        <w:t xml:space="preserve">Модель доступа vSphere SSO/RBAC заменена на RBAC платформы Virtuozzo, интегрированную с внешним сервисом аутентификации (RADIUS/AD) и MFA. Все административные учётные записи пересозданы и проверены; права назначены по ролям. Доступ к гипервизору осуществляется исключительно через bastion с MFA.</w:t>
      </w:r>
    </w:p>
    <w:p>
      <w:pPr>
        <w:pStyle w:val="Heading1"/>
      </w:pPr>
      <w:r>
        <w:t xml:space="preserve">11. Доступ в модели множественных CDE (multi-CDE)</w:t>
      </w:r>
    </w:p>
    <w:p>
      <w:pPr>
        <w:spacing w:after="120"/>
      </w:pPr>
      <w:r>
        <w:t xml:space="preserve">Каждый тенант является самостоятельным CDE. Управление доступом обеспечивает изоляцию учётных записей и прав между CDE: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Учётные записи и роли одного тенанта-CDE не имеют доступа к ресурсам другого CDE (need-to-know на уровне CDE).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Тенант получает доступ только к своему CDE через панель Virtuozzo; cross-CDE операции запрещены.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Привилегированный доступ операторов к платформе — через bastion с MFA, с разграничением по тенантам-CDE и полным аудитом.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Обзор прав (7.2.5/8.2.x) выполняется отдельно по каждому тенанту-CDE.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Политика управления доступом и аутентификации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2026-06-30T11:49:30.426Z</dcterms:created>
  <dcterms:modified xsi:type="dcterms:W3CDTF">2026-06-30T11:49:30.427Z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