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600"/>
        <w:jc w:val="center"/>
      </w:pPr>
      <w:r>
        <w:rPr>
          <w:color w:val="888888"/>
          <w:sz w:val="24"/>
          <w:szCs w:val="24"/>
        </w:rPr>
        <w:t xml:space="preserve">Оператор IaaS</w:t>
      </w:r>
    </w:p>
    <w:p>
      <w:pPr>
        <w:spacing w:after="60"/>
        <w:jc w:val="center"/>
      </w:pPr>
      <w:r>
        <w:rPr>
          <w:b/>
          <w:bCs/>
          <w:color w:val="0B4F6C"/>
          <w:sz w:val="40"/>
          <w:szCs w:val="40"/>
        </w:rPr>
        <w:t xml:space="preserve">Определение охвата и граница PCI DSS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Scope &amp; PCI Boundary · кластер с множественными тенантами-CDE (CDE-1…CDE-N)</w:t>
      </w:r>
    </w:p>
    <w:p>
      <w:pPr>
        <w:spacing w:after="300"/>
        <w:jc w:val="center"/>
      </w:pPr>
      <w:r>
        <w:rPr>
          <w:sz w:val="22"/>
          <w:szCs w:val="22"/>
        </w:rPr>
        <w:t xml:space="preserve">Соответствие PCI DSS v4.0.1 · Req. 12.5.1 / 12.5.2 / 11.4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rPr>
          <w:tblHeader/>
        </w:trP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Атрибут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Значение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Идентификатор документа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PCI-DOC-SCOPE-BOUNDARY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Версия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1.0 (черновик)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Статус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Draft — заполнить владельцем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Владелец документа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Compliance Manager / CISO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Утверждающий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CISO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Дата утверждения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[ДД.ММ.ГГГГ]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Дата следующего пересмотра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Не позднее чем через 12 мес. (Req. 12.1.1)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Классификация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Confidential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Область действия (scope)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Границы охвата; множественные тенанты-CDE на платформе оператора</w:t>
            </w:r>
          </w:p>
        </w:tc>
      </w:tr>
    </w:tbl>
    <w:p>
      <w:pPr>
        <w:spacing w:after="120"/>
      </w:pPr>
    </w:p>
    <w:p>
      <w:pPr>
        <w:pStyle w:val="Heading2"/>
      </w:pPr>
      <w:r>
        <w:t xml:space="preserve">История изменений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1800"/>
        <w:gridCol w:w="3000"/>
        <w:gridCol w:w="3360"/>
      </w:tblGrid>
      <w:tr>
        <w:trPr>
          <w:tblHeader/>
        </w:trP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Версия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Дата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Автор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Описание изменений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1.0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[дата]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[ФИО]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Первичная редакция в рамках re-assessment (VMware→Virtuozzo)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120"/>
      </w:pPr>
    </w:p>
    <w:p>
      <w:pPr>
        <w:pStyle w:val="Heading2"/>
      </w:pPr>
      <w:r>
        <w:t xml:space="preserve">Утверждение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Роль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ФИО / Подпись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Дата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Подготовил (владелец)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Согласовал (Security Officer)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Утвердил (CISO/CEO)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1. Назначение</w:t>
      </w:r>
    </w:p>
    <w:p>
      <w:pPr>
        <w:spacing w:after="120"/>
      </w:pPr>
      <w:r>
        <w:t xml:space="preserve">Документ определяет границы охвата (scope) PCI DSS для среды оператора IaaS и обосновывает категоризацию систем: что входит в среду данных держателей карт (CDE), что является подключённым/влияющим на безопасность (connected-to / security-impacting), а что находится вне охвата (out-of-scope). Поддерживает Req. 12.5.1, 12.5.2 и принципы определения охвата PCI DSS v4.0.1. Документ переподтверждается не реже одного раза в 12 месяцев и после значимых изменений; для сервис-провайдера подтверждение охвата выполняется не реже раза в 6 месяцев (Req. 12.5.2.1).</w:t>
      </w:r>
    </w:p>
    <w:p>
      <w:pPr>
        <w:pStyle w:val="Heading1"/>
      </w:pPr>
      <w:r>
        <w:t xml:space="preserve">2. Модель охвата — краткое изложение</w:t>
      </w:r>
    </w:p>
    <w:p>
      <w:pPr>
        <w:spacing w:after="120"/>
      </w:pPr>
      <w:r>
        <w:t xml:space="preserve">Кластер из четырёх физических узлов Virtuozzo Hybrid Server образует общую платформу, на которой сосуществуют НЕСКОЛЬКО независимых сред данных держателей карт (multi-CDE): каждый тенант является самостоятельным CDE с собственным охватом и собственным ROC. Каждый тенант-CDE размещён в выделенном VLAN и обслуживается выделенным VDOM на FortiGate. Остальная инфраструктура оператора функционирует в общем порядке (out-of-scope) при доказанной изоляции. Отдельную категорию образуют системы, подключённые к CDE или влияющие на их безопасность. Детальная модель множественных CDE — в документе «Модель множественных CDE» (PCI-DOC-MULTI-CDE).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2600"/>
        <w:gridCol w:w="3360"/>
      </w:tblGrid>
      <w:tr>
        <w:trPr>
          <w:tblHeader/>
        </w:trP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Категория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Статус PCI DSS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Применимость требований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Тенанты-CDE (на 4 узлах Virtuozzo)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In-scope (несколько CDE)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Все применимые; отдельный ROC на тенанта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Общие FortiGate 1800F (VDOM на тенанта)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In-scope (connected/impacting)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Сегментация между CDE: 1.x, 2.2, 10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Платформа Virtuozzo (узлы, панель)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In-scope (connected/impacting)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Изоляция CDE (A1), 2.2, 7, 8, 10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Системы управления и безопасности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In-scope (connected/impacting)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Применимые требования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Остальная инфраструктура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Out-of-scope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Не применяются при доказанной изоляции</w:t>
            </w:r>
          </w:p>
        </w:tc>
      </w:tr>
    </w:tbl>
    <w:p>
      <w:pPr>
        <w:pStyle w:val="Heading1"/>
      </w:pPr>
      <w:r>
        <w:t xml:space="preserve">3. CDE — выделенный кластер с множественными тенантами-CDE</w:t>
      </w:r>
    </w:p>
    <w:p>
      <w:pPr>
        <w:spacing w:after="120"/>
      </w:pPr>
      <w:r>
        <w:rPr>
          <w:i/>
          <w:iCs/>
        </w:rPr>
        <w:t xml:space="preserve">Обозначения CDE-1 … CDE-N во всех документах и схемах относятся к МНОЖЕСТВЕННЫМ независимым тенантам-CDE (по одной среде данных карт на тенанта), каждая со своим охватом и своим ROC. Оператор предоставляет общую инфраструктуру и обеспечивает изоляцию этих CDE друг от друга.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Четыре физических узла Virtuozzo HS образуют выделенный кластер, используемый ТОЛЬКО под среды данных карт; иные (не-CDE) нагрузки не размещаются.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На кластере сосуществуют несколько независимых тенантов-CDE; каждый — самостоятельная среда данных карт со своим ROC.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Каждый тенант-CDE изолирован: собственный VLAN + собственный VDOM на FortiGate; deny-by-default между CDE.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Хранилище Virtuozzo Storage разделено на тенанта-CDE и шифруется at-rest (Req. 3.5).</w:t>
      </w:r>
    </w:p>
    <w:p>
      <w:pPr>
        <w:spacing w:after="120"/>
      </w:pPr>
      <w:r>
        <w:rPr>
          <w:b/>
          <w:bCs/>
        </w:rPr>
        <w:t xml:space="preserve">Преимущество модели: граница между любыми двумя тенантами-CDE проходит через VLAN+VDOM, то есть межтенантный трафик всегда инспектируется FortiGate. Это устраняет класс рисков общего L2-домена между регулируемыми окружениями и снимает остроту утраты NSX-T DFW применительно к изоляции МЕЖДУ CDE.</w:t>
      </w:r>
    </w:p>
    <w:p>
      <w:pPr>
        <w:pStyle w:val="Heading1"/>
      </w:pPr>
      <w:r>
        <w:t xml:space="preserve">4. Connected-to / security-impacting системы</w:t>
      </w:r>
    </w:p>
    <w:p>
      <w:pPr>
        <w:spacing w:after="120"/>
      </w:pPr>
      <w:r>
        <w:t xml:space="preserve">Эти системы не входят в CDE, но подключены к нему или влияют на его безопасность, поэтому на них распространяется часть требований PCI DSS. Они НЕ относятся к «общему порядку».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600"/>
        <w:gridCol w:w="3760"/>
      </w:tblGrid>
      <w:tr>
        <w:trPr>
          <w:tblHeader/>
        </w:trP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Система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Почему в охвате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Ключевые требования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FortiGate 1800F (общие)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Реализуют сегментацию CDE через VDOM; компрометация = доступ к CDE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1.x (NSC), 2.2, 10, обзор правил 1.2.7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Панель управления Virtuozzo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Управляет узлами CDE (привилегированный доступ к гипервизору)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2.2, 7, 8.4/8.5, 10, A1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SIEM / лог-менеджмент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Принимает ПЛАТФОРМЕННЫЕ логи (не внутренние логи CDE); целостность аудита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10.3 (защита логов), 7, 8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Bastion / PAM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Точка привилегированного доступа в CDE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7, 8.4/8.5, 10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AAA (RADIUS/AD)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Аутентификация доступа в CDE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8.2/8.3, 7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NTP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Синхронизация времени CDE (целостность логов)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10.6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Patch / репозиторий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Источник обновлений для CDE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6.3</w:t>
            </w:r>
          </w:p>
        </w:tc>
      </w:tr>
    </w:tbl>
    <w:p>
      <w:pPr>
        <w:spacing w:after="120"/>
      </w:pPr>
      <w:r>
        <w:rPr>
          <w:b/>
          <w:bCs/>
        </w:rPr>
        <w:t xml:space="preserve">Особое внимание — общие FortiGate. Поскольку устройство обслуживает и CDE, и не-CDE сегменты, оно является устройством, влияющим на безопасность CDE. VDOM CDE и межсегментные политики подлежат полной оценке; необходимо доказать, что конфигурация VDOM надёжно отделяет CDE-трафик от прочего.</w:t>
      </w:r>
    </w:p>
    <w:p>
      <w:pPr>
        <w:pStyle w:val="Heading1"/>
      </w:pPr>
      <w:r>
        <w:t xml:space="preserve">5. Out-of-scope — остальная инфраструктура («общий порядок»)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Прочие серверы, сети и сервисы оператора, не обрабатывающие данные карт и не подключённые к CDE, функционируют в общем порядке.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Статус out-of-scope действителен ИСКЛЮЧИТЕЛЬНО при доказанной изоляции от CDE и от connected-систем.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Изоляция обеспечивается сегментацией (VDOM/VLAN) и подтверждается тестом сегментации (Req. 11.4.5).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Любая неконтролируемая связность out-of-scope систем с CDE автоматически втягивает их в охват.</w:t>
      </w:r>
    </w:p>
    <w:p>
      <w:pPr>
        <w:pStyle w:val="Heading1"/>
      </w:pPr>
      <w:r>
        <w:t xml:space="preserve">6. Обоснование сегментации (условие out-of-scope)</w:t>
      </w:r>
    </w:p>
    <w:p>
      <w:pPr>
        <w:spacing w:after="120"/>
      </w:pPr>
      <w:r>
        <w:t xml:space="preserve">Сокращение охвата правомерно только при наличии эффективной сегментации. Для подтверждения: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Между CDE (4 узла) и остальной инфраструктурой действует deny-by-default на уровне VDOM/VLAN FortiGate.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Разрешены только строго необходимые потоки от connected-систем к CDE; всё остальное блокируется и логируется.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Эффективность изоляции подтверждается тестом сегментации не реже раза в 6 месяцев (сервис-провайдер) и после значимых изменений (Req. 11.4.6).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При недоказанной изоляции охват расширяется до затронутых систем.</w:t>
      </w:r>
    </w:p>
    <w:p>
      <w:pPr>
        <w:pStyle w:val="Heading1"/>
      </w:pPr>
      <w:r>
        <w:t xml:space="preserve">7. Влияние миграции на охват</w:t>
      </w:r>
    </w:p>
    <w:p>
      <w:pPr>
        <w:spacing w:after="120"/>
      </w:pPr>
      <w:r>
        <w:t xml:space="preserve">Комплексная миграция стека VMware (vSphere + vCloud Director + NSX-T) на Virtuozzo + FortiGate VDOM не меняет принцип выделенного CDE-контура из 4 узлов, но требует переподтверждения границ: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Asset inventory обновлён: 4 узла Virtuozzo HS (CDE), общие FortiGate (connected), панель Virtuozzo (connected).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Сегментация теперь на VDOM FortiGate + VLAN Virtuozzo (взамен NSX-T); тест сегментации выполнен заново.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Панель Virtuozzo (взамен vCloud Director) включена в connected-системы как управляющая узлами CDE.</w:t>
      </w:r>
    </w:p>
    <w:p>
      <w:pPr>
        <w:pStyle w:val="Heading1"/>
      </w:pPr>
      <w:r>
        <w:t xml:space="preserve">8. Перечень систем по категориям (заполнить фактически)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00"/>
        <w:gridCol w:w="2200"/>
        <w:gridCol w:w="2560"/>
      </w:tblGrid>
      <w:tr>
        <w:trPr>
          <w:tblHeader/>
        </w:trP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Система / хост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Категория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IP/сеть/VLAN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Обоснование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Node-1 Virtuozzo HS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CDE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[VLAN CDE]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Обработка/хранение CHD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Node-2 Virtuozzo HS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CDE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[VLAN CDE]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Обработка/хранение CHD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Node-3 Virtuozzo HS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CDE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[VLAN CDE]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Обработка/хранение CHD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Node-4 Virtuozzo HS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CDE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[VLAN CDE]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Обработка/хранение CHD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FortiGate 1800F #1/#2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Connected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[mgmt/VDOM]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Сегментация CDE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Панель Virtuozzo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Connected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[VLAN MGMT]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Управление узлами CDE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SIEM / Bastion / AAA / NTP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Connected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[VLAN MGMT]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Поддержка/защита CDE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Прочая инфраструктура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Out-of-scope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[прочие VLAN]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Изолирована, не связана с CDE</w:t>
            </w:r>
          </w:p>
        </w:tc>
      </w:tr>
    </w:tbl>
    <w:p>
      <w:pPr>
        <w:pStyle w:val="Heading1"/>
      </w:pPr>
      <w:r>
        <w:t xml:space="preserve">9. Подтверждение охвата (Req. 12.5.2)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400"/>
        <w:gridCol w:w="4560"/>
      </w:tblGrid>
      <w:tr>
        <w:trPr>
          <w:tblHeader/>
        </w:trP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Дата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Исполнитель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Результат подтверждения охвата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[дата]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[ФИО]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[границы подтверждены / изменения]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88888"/>
        <w:sz w:val="15"/>
        <w:szCs w:val="15"/>
      </w:rPr>
      <w:t xml:space="preserve">Стр. </w:t>
    </w:r>
    <w:r>
      <w:rPr>
        <w:color w:val="888888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888888"/>
        <w:sz w:val="15"/>
        <w:szCs w:val="15"/>
      </w:rPr>
      <w:t xml:space="preserve">Определение охвата и граница PCI DSS — PCI DSS v4.0.1 (Confidential)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  <w:lvl w:ilvl="1" w15:tentative="1">
      <w:start w:val="1"/>
      <w:numFmt w:val="bullet"/>
      <w:lvlText w:val="–"/>
      <w:lvlJc w:val="left"/>
      <w:pPr>
        <w:ind w:left="104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1BA0D7" w:sz="6" w:space="4"/>
      </w:pBdr>
      <w:spacing w:after="140" w:before="240"/>
      <w:outlineLvl w:val="0"/>
    </w:pPr>
    <w:rPr>
      <w:rFonts w:ascii="Arial" w:cs="Arial" w:eastAsia="Arial" w:hAnsi="Arial"/>
      <w:b/>
      <w:bCs/>
      <w:color w:val="0B4F6C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16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70" w:before="120"/>
      <w:outlineLvl w:val="2"/>
    </w:pPr>
    <w:rPr>
      <w:rFonts w:ascii="Arial" w:cs="Arial" w:eastAsia="Arial" w:hAnsi="Arial"/>
      <w:b/>
      <w:bCs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2026-06-30T11:49:31.446Z</dcterms:created>
  <dcterms:modified xsi:type="dcterms:W3CDTF">2026-06-30T11:49:31.446Z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