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1200"/>
        <w:jc w:val="center"/>
      </w:pPr>
      <w:r>
        <w:rPr>
          <w:b/>
          <w:bCs/>
          <w:sz w:val="40"/>
          <w:szCs w:val="40"/>
        </w:rPr>
        <w:t xml:space="preserve">Комплект документов для сертификации</w:t>
      </w:r>
    </w:p>
    <w:p>
      <w:pPr>
        <w:spacing w:after="120"/>
        <w:jc w:val="center"/>
      </w:pPr>
      <w:r>
        <w:rPr>
          <w:b/>
          <w:bCs/>
          <w:color w:val="DA291C"/>
          <w:sz w:val="56"/>
          <w:szCs w:val="56"/>
        </w:rPr>
        <w:t xml:space="preserve">PCI DSS v4.0.1</w:t>
      </w:r>
    </w:p>
    <w:p>
      <w:pPr>
        <w:spacing w:after="400"/>
        <w:jc w:val="center"/>
      </w:pPr>
      <w:r>
        <w:rPr>
          <w:sz w:val="28"/>
          <w:szCs w:val="28"/>
        </w:rPr>
        <w:t xml:space="preserve">Оператор IaaS — повторная сертификация (full reassessment)</w:t>
      </w:r>
    </w:p>
    <w:p>
      <w:pPr>
        <w:spacing w:after="80"/>
        <w:jc w:val="center"/>
      </w:pPr>
      <w:r>
        <w:rPr>
          <w:i/>
          <w:iCs/>
          <w:sz w:val="24"/>
          <w:szCs w:val="24"/>
        </w:rPr>
        <w:t xml:space="preserve">Significant change: VMware vSphere + vCloud Director + NSX-T → Virtuozzo Hybrid Server</w:t>
      </w:r>
    </w:p>
    <w:p>
      <w:pPr>
        <w:spacing w:after="80"/>
        <w:jc w:val="center"/>
      </w:pPr>
      <w:r>
        <w:rPr>
          <w:sz w:val="22"/>
          <w:szCs w:val="22"/>
        </w:rPr>
        <w:t xml:space="preserve">Инфраструктура: 4 узла Virtuozzo HS · 2× FortiGate 1800F (HA, сегментация через VDOM)</w:t>
      </w:r>
    </w:p>
    <w:p>
      <w:pPr>
        <w:spacing w:before="600"/>
        <w:jc w:val="center"/>
      </w:pPr>
      <w:r>
        <w:rPr>
          <w:b/>
          <w:bCs/>
          <w:sz w:val="22"/>
          <w:szCs w:val="22"/>
        </w:rPr>
        <w:t xml:space="preserve">Роль: Infrastructure Service Provider, Level 1 (ROC + AOC, передаётся тенантам)</w:t>
      </w:r>
    </w:p>
    <w:p>
      <w:pPr>
        <w:spacing w:before="200"/>
        <w:jc w:val="center"/>
      </w:pPr>
      <w:r>
        <w:rPr>
          <w:sz w:val="20"/>
          <w:szCs w:val="20"/>
        </w:rPr>
        <w:t xml:space="preserve">Версия: 1.0 (черновик для QSA) · Классификация: Confidential</w:t>
      </w:r>
    </w:p>
    <w:p>
      <w:r>
        <w:br w:type="page"/>
      </w:r>
    </w:p>
    <w:p>
      <w:pPr>
        <w:pStyle w:val="Heading1"/>
      </w:pPr>
      <w:r>
        <w:t xml:space="preserve">Оглавление</w:t>
      </w:r>
    </w:p>
    <w:sdt>
      <w:sdtPr>
        <w:alias w:val="Содержание"/>
      </w:sdtPr>
      <w:sdtContent>
        <w:p>
          <w:r>
            <w:fldChar w:fldCharType="begin" w:dirty="true"/>
            <w:instrText xml:space="preserve">TOC \h \o "1-2"</w:instrText>
            <w:fldChar w:fldCharType="separate"/>
          </w:r>
        </w:p>
        <w:p>
          <w:r>
            <w:fldChar w:fldCharType="end"/>
          </w:r>
        </w:p>
      </w:sdtContent>
    </w:sdt>
    <w:p>
      <w:r>
        <w:br w:type="page"/>
      </w:r>
    </w:p>
    <w:p>
      <w:pPr>
        <w:pStyle w:val="Heading1"/>
      </w:pPr>
      <w:r>
        <w:t xml:space="preserve">0. Назначение и статус документа</w:t>
      </w:r>
    </w:p>
    <w:p>
      <w:pPr>
        <w:spacing w:after="120"/>
      </w:pPr>
      <w:r>
        <w:t xml:space="preserve">Настоящий комплект формирует полный перечень документов, политик, процедур и доказательной базы (evidence), необходимых для прохождения повторной сертификации (re-assessment) по стандарту PCI DSS v4.0.1 в роли поставщика ИНФРАСТРУКТУРНЫХ услуг (Infrastructure / Hosting Service Provider, Level 1). Оператор сертифицирует инфраструктурный слой, предоставляемый как услуга, и передаёт своё подтверждение соответствия (AOC) тенантам.</w:t>
      </w:r>
    </w:p>
    <w:p>
      <w:pPr>
        <w:spacing w:after="120"/>
      </w:pPr>
      <w:r>
        <w:rPr>
          <w:b/>
          <w:bCs/>
        </w:rPr>
        <w:t xml:space="preserve">Принципиальная модель ответственности: оператор предоставляет СЕРТИФИЦИРОВАННУЮ ИНФРАСТРУКТУРУ (физический, сетевой, гипервизорный, управляющий слои, сегментация и изоляция тенантов, опциональные сервисы). Соблюдение стандарта и сертификация самих сред данных карт (CDE) — обязанность каждого тенанта: каждый тенант является самостоятельным CDE, проходит собственную оценку и имеет собственный ROC, используя AOC оператора как доказательство инфраструктурного слоя. Оператор НЕ сертифицирует CDE тенантов. Детально — в документе «Оператор как Infrastructure Service Provider» (PCI-DOC-INFRA-SP-AOC).</w:t>
      </w:r>
    </w:p>
    <w:p>
      <w:pPr>
        <w:spacing w:after="120"/>
      </w:pPr>
      <w:r>
        <w:t xml:space="preserve">Произошло значимое изменение (significant change) — комплексная замена ВСЕГО стека VMware на платформу Virtuozzo Hybrid Server. Заменяются три взаимосвязанных компонента: (1) платформа виртуализации vSphere/ESXi → узлы Virtuozzo HS; (2) слой облачной оркестрации и портала самообслуживания тенантов vCloud Director → штатная панель управления Virtuozzo; (3) слой программно-определяемой сети NSX-T (включая distributed firewall и микросегментацию) → сегментация средствами VDOM на FortiGate 1800F + VLAN Virtuozzo. Оценка проводится как полная переоценка (full reassessment) всех применимых к инфраструктуре требований.</w:t>
      </w:r>
    </w:p>
    <w:p>
      <w:pPr>
        <w:spacing w:after="120"/>
      </w:pPr>
      <w:r>
        <w:t xml:space="preserve">Особое внимание аудита: NSX-T обеспечивал распределённый firewall на уровне vNIC каждой ВМ (east-west микросегментация внутри гипервизора). VDOM на FortiGate реализует сегментацию north-south и между VLAN. В модели множественных CDE каждый тенант размещён в своём VLAN+VDOM, поэтому межтенантный трафик всегда инспектируется FortiGate (граница между CDE обеспечена). Внутрисегментная микросегментация внутри одного тенанта-CDE — задача самого тенанта. Замена портала vCloud Director на панель Virtuozzo переоценивает модель доступа и изоляции тенантов (Req. 7/8, Appendix A1) и харднинг нового портала (Req. 2.2).</w:t>
      </w:r>
    </w:p>
    <w:p>
      <w:pPr>
        <w:spacing w:after="120"/>
      </w:pPr>
      <w:r>
        <w:t xml:space="preserve">Комплект структурирован по разделам: формальная отчётность PCI SSC, документы охвата и сегментации, политики верхнего уровня, процедурные документы по требованиям 1–11, специфика Infrastructure SP / multi-CDE, операционные записи и чек-лист готовности к QSA. Реестр в разделе 1 — главный навигационный артефакт.</w:t>
      </w:r>
    </w:p>
    <w:p>
      <w:pPr>
        <w:spacing w:after="120"/>
      </w:pPr>
    </w:p>
    <w:p>
      <w:pPr>
        <w:spacing w:after="120"/>
      </w:pPr>
      <w:r>
        <w:rPr>
          <w:b/>
          <w:bCs/>
        </w:rPr>
        <w:t xml:space="preserve">Допущения, требующие подтверждения у владельца и QSA:</w:t>
      </w:r>
    </w:p>
    <w:p>
      <w:pPr>
        <w:pStyle w:val="ListParagraph"/>
        <w:numPr>
          <w:ilvl w:val="0"/>
          <w:numId w:val="2"/>
        </w:numPr>
        <w:spacing w:after="40"/>
      </w:pPr>
      <w:r>
        <w:t xml:space="preserve">Роль — Infrastructure Service Provider, Level 1: полный ROC (QSA) и AOC for Service Providers, передаваемый тенантам.</w:t>
      </w:r>
    </w:p>
    <w:p>
      <w:pPr>
        <w:pStyle w:val="ListParagraph"/>
        <w:numPr>
          <w:ilvl w:val="0"/>
          <w:numId w:val="2"/>
        </w:numPr>
        <w:spacing w:after="40"/>
      </w:pPr>
      <w:r>
        <w:t xml:space="preserve">Объём ROC оператора — требования инфраструктурного слоя; требования внутри CDE — в ROC тенантов (разграничение в матрице ответственности).</w:t>
      </w:r>
    </w:p>
    <w:p>
      <w:pPr>
        <w:pStyle w:val="ListParagraph"/>
        <w:numPr>
          <w:ilvl w:val="0"/>
          <w:numId w:val="2"/>
        </w:numPr>
        <w:spacing w:after="40"/>
      </w:pPr>
      <w:r>
        <w:t xml:space="preserve">Наличие собственных платёжных страниц на стороне оператора обычно отсутствует (платёжная логика — у тенантов); применимость Req. 6.4.3/11.6.1 уточняется.</w:t>
      </w:r>
    </w:p>
    <w:p>
      <w:pPr>
        <w:pStyle w:val="ListParagraph"/>
        <w:numPr>
          <w:ilvl w:val="0"/>
          <w:numId w:val="2"/>
        </w:numPr>
        <w:spacing w:after="40"/>
      </w:pPr>
      <w:r>
        <w:t xml:space="preserve">Применимость Appendix A3 (DESV) — только при назначении платёжным брендом/эквайером.</w:t>
      </w:r>
    </w:p>
    <w:p>
      <w:r>
        <w:br w:type="page"/>
      </w:r>
    </w:p>
    <w:p>
      <w:pPr>
        <w:pStyle w:val="Heading1"/>
      </w:pPr>
      <w:r>
        <w:t xml:space="preserve">0.1. Модель охвата (Scope) — множественные CDE (multi-CDE)</w:t>
      </w:r>
    </w:p>
    <w:p>
      <w:pPr>
        <w:spacing w:after="120"/>
      </w:pPr>
      <w:r>
        <w:rPr>
          <w:i/>
          <w:iCs/>
        </w:rPr>
        <w:t xml:space="preserve">Во всех документах и схемах обозначения CDE-1 … CDE-N относятся к МНОЖЕСТВЕННЫМ независимым тенантам-CDE (по одной среде данных карт на тенанта), каждая со своим охватом и своим ROC.</w:t>
      </w:r>
    </w:p>
    <w:p>
      <w:pPr>
        <w:spacing w:after="120"/>
      </w:pPr>
      <w:r>
        <w:t xml:space="preserve">Кластер из четырёх узлов Virtuozzo HS — общая платформа, на которой сосуществуют НЕСКОЛЬКО независимых сред данных карт: каждый тенант является самостоятельным CDE с собственным охватом и собственным ROC. Каждый тенант-CDE размещён в выделенном VLAN и обслуживается выделенным VDOM на FortiGate; между CDE действует deny-by-default. Остальная инфраструктура — out-of-scope при доказанной изоляции. Системы, подключённые к CDE или влияющие на их безопасность, образуют категорию connected/impacting. Детально — в документах PCI-DOC-MULTI-CDE и PCI-DOC-SCOPE-BOUNDARY.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400"/>
        <w:gridCol w:w="3760"/>
      </w:tblGrid>
      <w:tr>
        <w:trPr>
          <w:tblHeader/>
        </w:trPr>
        <w:tc>
          <w:tcPr>
            <w:tcW w:type="dxa" w:w="3200"/>
            <w:tcBorders>
              <w:top w:val="single" w:color="CCCCCC" w:sz="1"/>
              <w:left w:val="single" w:color="CCCCCC" w:sz="1"/>
              <w:bottom w:val="single" w:color="CCCCCC" w:sz="1"/>
              <w:right w:val="single" w:color="CCCCCC" w:sz="1"/>
            </w:tcBorders>
            <w:shd w:fill="D5E8F0" w:val="clear"/>
            <w:tcMar>
              <w:top w:type="dxa" w:w="60"/>
              <w:left w:type="dxa" w:w="110"/>
              <w:bottom w:type="dxa" w:w="60"/>
              <w:right w:type="dxa" w:w="110"/>
            </w:tcMar>
          </w:tcPr>
          <w:p>
            <w:pPr>
              <w:jc w:val="left"/>
            </w:pPr>
            <w:r>
              <w:rPr>
                <w:b/>
                <w:bCs/>
                <w:sz w:val="20"/>
                <w:szCs w:val="20"/>
              </w:rPr>
              <w:t xml:space="preserve">Категория</w:t>
            </w:r>
          </w:p>
        </w:tc>
        <w:tc>
          <w:tcPr>
            <w:tcW w:type="dxa" w:w="2400"/>
            <w:tcBorders>
              <w:top w:val="single" w:color="CCCCCC" w:sz="1"/>
              <w:left w:val="single" w:color="CCCCCC" w:sz="1"/>
              <w:bottom w:val="single" w:color="CCCCCC" w:sz="1"/>
              <w:right w:val="single" w:color="CCCCCC" w:sz="1"/>
            </w:tcBorders>
            <w:shd w:fill="D5E8F0" w:val="clear"/>
            <w:tcMar>
              <w:top w:type="dxa" w:w="60"/>
              <w:left w:type="dxa" w:w="110"/>
              <w:bottom w:type="dxa" w:w="60"/>
              <w:right w:type="dxa" w:w="110"/>
            </w:tcMar>
          </w:tcPr>
          <w:p>
            <w:pPr>
              <w:jc w:val="left"/>
            </w:pPr>
            <w:r>
              <w:rPr>
                <w:b/>
                <w:bCs/>
                <w:sz w:val="20"/>
                <w:szCs w:val="20"/>
              </w:rPr>
              <w:t xml:space="preserve">Статус</w:t>
            </w:r>
          </w:p>
        </w:tc>
        <w:tc>
          <w:tcPr>
            <w:tcW w:type="dxa" w:w="3760"/>
            <w:tcBorders>
              <w:top w:val="single" w:color="CCCCCC" w:sz="1"/>
              <w:left w:val="single" w:color="CCCCCC" w:sz="1"/>
              <w:bottom w:val="single" w:color="CCCCCC" w:sz="1"/>
              <w:right w:val="single" w:color="CCCCCC" w:sz="1"/>
            </w:tcBorders>
            <w:shd w:fill="D5E8F0" w:val="clear"/>
            <w:tcMar>
              <w:top w:type="dxa" w:w="60"/>
              <w:left w:type="dxa" w:w="110"/>
              <w:bottom w:type="dxa" w:w="60"/>
              <w:right w:type="dxa" w:w="110"/>
            </w:tcMar>
          </w:tcPr>
          <w:p>
            <w:pPr>
              <w:jc w:val="left"/>
            </w:pPr>
            <w:r>
              <w:rPr>
                <w:b/>
                <w:bCs/>
                <w:sz w:val="20"/>
                <w:szCs w:val="20"/>
              </w:rPr>
              <w:t xml:space="preserve">Применимость требований</w:t>
            </w:r>
          </w:p>
        </w:tc>
      </w:tr>
      <w:tr>
        <w:tc>
          <w:tcPr>
            <w:tcW w:type="dxa" w:w="3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Тенанты-CDE на кластере (N сред)</w:t>
            </w:r>
          </w:p>
        </w:tc>
        <w:tc>
          <w:tcPr>
            <w:tcW w:type="dxa" w:w="2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In-scope (multi-CDE)</w:t>
            </w:r>
          </w:p>
        </w:tc>
        <w:tc>
          <w:tcPr>
            <w:tcW w:type="dxa" w:w="37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Все применимые; отдельный ROC на тенанта</w:t>
            </w:r>
          </w:p>
        </w:tc>
      </w:tr>
      <w:tr>
        <w:tc>
          <w:tcPr>
            <w:tcW w:type="dxa" w:w="3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Общие FortiGate 1800F (VDOM на тенанта)</w:t>
            </w:r>
          </w:p>
        </w:tc>
        <w:tc>
          <w:tcPr>
            <w:tcW w:type="dxa" w:w="2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In-scope (connected)</w:t>
            </w:r>
          </w:p>
        </w:tc>
        <w:tc>
          <w:tcPr>
            <w:tcW w:type="dxa" w:w="37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Сегментация между CDE: 1.x, 2.2, 10</w:t>
            </w:r>
          </w:p>
        </w:tc>
      </w:tr>
      <w:tr>
        <w:tc>
          <w:tcPr>
            <w:tcW w:type="dxa" w:w="3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Платформа Virtuozzo (узлы, панель)</w:t>
            </w:r>
          </w:p>
        </w:tc>
        <w:tc>
          <w:tcPr>
            <w:tcW w:type="dxa" w:w="2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In-scope (connected)</w:t>
            </w:r>
          </w:p>
        </w:tc>
        <w:tc>
          <w:tcPr>
            <w:tcW w:type="dxa" w:w="37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Изоляция CDE (A1), 2.2, 7, 8, 10</w:t>
            </w:r>
          </w:p>
        </w:tc>
      </w:tr>
      <w:tr>
        <w:tc>
          <w:tcPr>
            <w:tcW w:type="dxa" w:w="3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SIEM, bastion, AAA, NTP, репо</w:t>
            </w:r>
          </w:p>
        </w:tc>
        <w:tc>
          <w:tcPr>
            <w:tcW w:type="dxa" w:w="2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In-scope (connected)</w:t>
            </w:r>
          </w:p>
        </w:tc>
        <w:tc>
          <w:tcPr>
            <w:tcW w:type="dxa" w:w="37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Применимые: 7, 8, 10</w:t>
            </w:r>
          </w:p>
        </w:tc>
      </w:tr>
      <w:tr>
        <w:tc>
          <w:tcPr>
            <w:tcW w:type="dxa" w:w="3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Остальная инфраструктура</w:t>
            </w:r>
          </w:p>
        </w:tc>
        <w:tc>
          <w:tcPr>
            <w:tcW w:type="dxa" w:w="2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Out-of-scope</w:t>
            </w:r>
          </w:p>
        </w:tc>
        <w:tc>
          <w:tcPr>
            <w:tcW w:type="dxa" w:w="37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Не применяются при изоляции</w:t>
            </w:r>
          </w:p>
        </w:tc>
      </w:tr>
    </w:tbl>
    <w:p>
      <w:pPr>
        <w:spacing w:after="120"/>
      </w:pPr>
      <w:r>
        <w:rPr>
          <w:b/>
          <w:bCs/>
        </w:rPr>
        <w:t xml:space="preserve">Ключевое: каждый тенант — ОТДЕЛЬНЫЙ CDE со своим ROC. Граница сегментации проходит МЕЖДУ независимыми платёжными окружениями (VLAN+VDOM на тенанта). Компрометация изоляции = доступ из одного CDE в другой, поэтому тест сегментации (11.4.5) покрывает границы между всеми тенантами-CDE.</w:t>
      </w:r>
    </w:p>
    <w:p>
      <w:pPr>
        <w:spacing w:after="120"/>
      </w:pPr>
      <w:r>
        <w:t xml:space="preserve">Общие FortiGate обслуживают все тенанты-CDE через выделенные VDOM → они connected/impacting и подлежат оценке как средства межтенантной сегментации.</w:t>
      </w:r>
    </w:p>
    <w:p>
      <w:r>
        <w:br w:type="page"/>
      </w:r>
    </w:p>
    <w:p>
      <w:pPr>
        <w:pStyle w:val="Heading1"/>
      </w:pPr>
      <w:r>
        <w:t xml:space="preserve">1. Главный реестр документов (Document Register)</w:t>
      </w:r>
    </w:p>
    <w:p>
      <w:pPr>
        <w:spacing w:after="120"/>
      </w:pPr>
      <w:r>
        <w:t xml:space="preserve">Колонка «Req.» указывает основные требования PCI DSS v4.0.1, которые документ покрывает. Колонка «Тип» — P (политика), Pr (процедура/стандарт), D (диаграмма/схема), R (запись/доказательство), F (форма PCI SSC). Статус заполняется при подготовке к аудиту.</w:t>
      </w:r>
    </w:p>
    <w:tbl>
      <w:tblPr>
        <w:tblW w:type="dxa" w:w="8760"/>
        <w:tblBorders>
          <w:top w:val="single" w:color="auto" w:sz="4"/>
          <w:left w:val="single" w:color="auto" w:sz="4"/>
          <w:bottom w:val="single" w:color="auto" w:sz="4"/>
          <w:right w:val="single" w:color="auto" w:sz="4"/>
          <w:insideH w:val="single" w:color="auto" w:sz="4"/>
          <w:insideV w:val="single" w:color="auto" w:sz="4"/>
        </w:tblBorders>
      </w:tblPr>
      <w:tblGrid>
        <w:gridCol w:w="520"/>
        <w:gridCol w:w="3400"/>
        <w:gridCol w:w="560"/>
        <w:gridCol w:w="1300"/>
        <w:gridCol w:w="2980"/>
      </w:tblGrid>
      <w:tr>
        <w:trPr>
          <w:tblHeader/>
        </w:trPr>
        <w:tc>
          <w:tcPr>
            <w:tcW w:type="dxa" w:w="520"/>
            <w:tcBorders>
              <w:top w:val="single" w:color="CCCCCC" w:sz="1"/>
              <w:left w:val="single" w:color="CCCCCC" w:sz="1"/>
              <w:bottom w:val="single" w:color="CCCCCC" w:sz="1"/>
              <w:right w:val="single" w:color="CCCCCC" w:sz="1"/>
            </w:tcBorders>
            <w:shd w:fill="D5E8F0" w:val="clear"/>
            <w:tcMar>
              <w:top w:type="dxa" w:w="60"/>
              <w:left w:type="dxa" w:w="110"/>
              <w:bottom w:type="dxa" w:w="60"/>
              <w:right w:type="dxa" w:w="110"/>
            </w:tcMar>
          </w:tcPr>
          <w:p>
            <w:pPr>
              <w:jc w:val="left"/>
            </w:pPr>
            <w:r>
              <w:rPr>
                <w:b/>
                <w:bCs/>
                <w:sz w:val="20"/>
                <w:szCs w:val="20"/>
              </w:rPr>
              <w:t xml:space="preserve">№</w:t>
            </w:r>
          </w:p>
        </w:tc>
        <w:tc>
          <w:tcPr>
            <w:tcW w:type="dxa" w:w="3400"/>
            <w:tcBorders>
              <w:top w:val="single" w:color="CCCCCC" w:sz="1"/>
              <w:left w:val="single" w:color="CCCCCC" w:sz="1"/>
              <w:bottom w:val="single" w:color="CCCCCC" w:sz="1"/>
              <w:right w:val="single" w:color="CCCCCC" w:sz="1"/>
            </w:tcBorders>
            <w:shd w:fill="D5E8F0" w:val="clear"/>
            <w:tcMar>
              <w:top w:type="dxa" w:w="60"/>
              <w:left w:type="dxa" w:w="110"/>
              <w:bottom w:type="dxa" w:w="60"/>
              <w:right w:type="dxa" w:w="110"/>
            </w:tcMar>
          </w:tcPr>
          <w:p>
            <w:pPr>
              <w:jc w:val="left"/>
            </w:pPr>
            <w:r>
              <w:rPr>
                <w:b/>
                <w:bCs/>
                <w:sz w:val="20"/>
                <w:szCs w:val="20"/>
              </w:rPr>
              <w:t xml:space="preserve">Документ</w:t>
            </w:r>
          </w:p>
        </w:tc>
        <w:tc>
          <w:tcPr>
            <w:tcW w:type="dxa" w:w="560"/>
            <w:tcBorders>
              <w:top w:val="single" w:color="CCCCCC" w:sz="1"/>
              <w:left w:val="single" w:color="CCCCCC" w:sz="1"/>
              <w:bottom w:val="single" w:color="CCCCCC" w:sz="1"/>
              <w:right w:val="single" w:color="CCCCCC" w:sz="1"/>
            </w:tcBorders>
            <w:shd w:fill="D5E8F0" w:val="clear"/>
            <w:tcMar>
              <w:top w:type="dxa" w:w="60"/>
              <w:left w:type="dxa" w:w="110"/>
              <w:bottom w:type="dxa" w:w="60"/>
              <w:right w:type="dxa" w:w="110"/>
            </w:tcMar>
          </w:tcPr>
          <w:p>
            <w:pPr>
              <w:jc w:val="left"/>
            </w:pPr>
            <w:r>
              <w:rPr>
                <w:b/>
                <w:bCs/>
                <w:sz w:val="20"/>
                <w:szCs w:val="20"/>
              </w:rPr>
              <w:t xml:space="preserve">Тип</w:t>
            </w:r>
          </w:p>
        </w:tc>
        <w:tc>
          <w:tcPr>
            <w:tcW w:type="dxa" w:w="1300"/>
            <w:tcBorders>
              <w:top w:val="single" w:color="CCCCCC" w:sz="1"/>
              <w:left w:val="single" w:color="CCCCCC" w:sz="1"/>
              <w:bottom w:val="single" w:color="CCCCCC" w:sz="1"/>
              <w:right w:val="single" w:color="CCCCCC" w:sz="1"/>
            </w:tcBorders>
            <w:shd w:fill="D5E8F0" w:val="clear"/>
            <w:tcMar>
              <w:top w:type="dxa" w:w="60"/>
              <w:left w:type="dxa" w:w="110"/>
              <w:bottom w:type="dxa" w:w="60"/>
              <w:right w:type="dxa" w:w="110"/>
            </w:tcMar>
          </w:tcPr>
          <w:p>
            <w:pPr>
              <w:jc w:val="left"/>
            </w:pPr>
            <w:r>
              <w:rPr>
                <w:b/>
                <w:bCs/>
                <w:sz w:val="20"/>
                <w:szCs w:val="20"/>
              </w:rPr>
              <w:t xml:space="preserve">Req.</w:t>
            </w:r>
          </w:p>
        </w:tc>
        <w:tc>
          <w:tcPr>
            <w:tcW w:type="dxa" w:w="2980"/>
            <w:tcBorders>
              <w:top w:val="single" w:color="CCCCCC" w:sz="1"/>
              <w:left w:val="single" w:color="CCCCCC" w:sz="1"/>
              <w:bottom w:val="single" w:color="CCCCCC" w:sz="1"/>
              <w:right w:val="single" w:color="CCCCCC" w:sz="1"/>
            </w:tcBorders>
            <w:shd w:fill="D5E8F0" w:val="clear"/>
            <w:tcMar>
              <w:top w:type="dxa" w:w="60"/>
              <w:left w:type="dxa" w:w="110"/>
              <w:bottom w:type="dxa" w:w="60"/>
              <w:right w:type="dxa" w:w="110"/>
            </w:tcMar>
          </w:tcPr>
          <w:p>
            <w:pPr>
              <w:jc w:val="left"/>
            </w:pPr>
            <w:r>
              <w:rPr>
                <w:b/>
                <w:bCs/>
                <w:sz w:val="20"/>
                <w:szCs w:val="20"/>
              </w:rPr>
              <w:t xml:space="preserve">Примечание</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Report on Compliance (ROC)</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F</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все</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Заполняет QSA по шаблону v4.0.1</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2</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Attestation of Compliance (AOC) — Service Provider</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F</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все</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Форма для SP</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3</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SAQ D — Service Provider (если применимо)</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F</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все</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Альтернатива ROC по уровню</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4</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Appendix A1 — Multi-Tenant Service Provider</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F</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A1</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Критично для IaaS</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5</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Appendix A3 (DESV) — при назначении</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F</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A3</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Только по требованию бренда</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6</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Scope Definition &amp; PCI Boundary Document</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Pr</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12.5.2</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Категории: CDE / connected / out-of-scope</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6a</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Multi-CDE / Per-Tenant Scope Document</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Pr</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12.5/A1</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Каждый тенант — отдельный CDE со своим ROC</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6b</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Infrastructure SP / AOC Handoff Document</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Pr</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12.8/12.9</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Роль оператора как Infra SP; передача AOC тенантам</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7</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Cardholder Data Flow Diagram(s)</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D</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см. схема 3</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Потоки CHD/SAD</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8</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Network Diagram</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D</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1.2.3</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Топология CDE — схема 1</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9</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Segmentation Description &amp; Justification</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Pr</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1.3/1.4</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VDOM/VLAN — схема 2</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10</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Segmentation Penetration Test Report</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R</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11.4.5/11.4.6</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Заново при sig. change; SP — 6 мес.</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11</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Change-Impact Record (vSphere+vCD+NSX-T→Virtuozzo)</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R</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6.5.1</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Схема 4; оценка влияния на охват, 3 компонента</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12</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Asset Inventory (по категориям охвата)</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R</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12.5.1</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4 узла CDE + connected (FortiGate, панель и т.д.)</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13</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PAN Data Storage Inventory</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R</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3.2.1/3.1</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Где и как хранится PAN</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14</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Data Retention &amp; Disposal Matrix</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Pr</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3.1/3.2</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Сроки хранения/удаления</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15</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Information Security Policy</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12.1</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Общая политика ИБ</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16</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Acceptable Use Policy</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12.2.1</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Допустимое использование</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17</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Risk Assessment / Targeted Risk Analyses</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Pr</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12.3.1</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TRA по гибким требованиям</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18</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Roles &amp; Responsibilities Matrix (RACI)</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Pr</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12.4/12.5</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Владелец на каждое требование</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19</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Security Awareness Training Program + records</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P/R</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12.6</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Обучение + записи</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20</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Personnel Screening Policy</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12.7</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Проверка персонала</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21</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TPSP Management Policy + список + AOC поставщиков</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P/R</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12.8</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Управление субподрядчиками</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22</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Shared Responsibility Matrix</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Pr</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12.8.5/12.9.2</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Разграничение с клиентами</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23</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Incident Response Plan</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P/Pr</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12.10</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План реагирования + тесты</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24</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NSC Configuration Standards (FortiGate)</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Pr</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1.1/1.2</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Стандарты конфигурации + обзор 6 мес.</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25</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Firewall/VDOM Ruleset Review Records</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R</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1.2.7</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Записи обзора правил</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26</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System Hardening Standards (Virtuozzo, ОС, сеть)</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Pr</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2.2</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CIS-based, новые под Virtuozzo</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27</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Cryptographic Architecture Document</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Pr</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3.6/3.7/12.3.3</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Алгоритмы, ключи, HSM</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28</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Key Management Procedures</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Pr</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3.6/3.7</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Жизненный цикл ключей</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29</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Encryption-in-Transit Standard (TLS inventory)</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Pr</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4.2.1/4.2.1.1</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Версии/сертификаты</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30</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Anti-Malware Policy &amp; Procedures</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P/Pr</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5.2/5.3</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AV на узлах/VM</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31</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Secure SDLC / Change Management Policy</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P/Pr</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6.2/6.5</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Для собств. ПО портала/биллинга</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32</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Patch Management Policy</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P/Pr</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6.3.3</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Критич. патчи ≤30 дней</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33</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Payment Page Script Inventory &amp; Tamper Detection</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R/Pr</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6.4.3/11.6.1</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Если есть платёжные страницы</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34</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Access Control Policy (RBAC, least privilege)</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7.2/7.3</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Need-to-know</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35</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Identification &amp; Authentication Policy</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8.2/8.3</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Пароли/passphrase</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36</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MFA Implementation Standard</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Pr</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8.4/8.5</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MFA для всего доступа в CDE</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37</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Physical Security Policy</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9.1-9.4</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ЦОД, посетители, медиа</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38</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Media Handling &amp; Destruction Procedures</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Pr</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9.4</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Уничтожение носителей</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39</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Logging &amp; Monitoring Standard</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Pr</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10.2-10.7</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SIEM, хранение ≥12 мес.</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40</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Time Synchronization Standard (NTP)</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Pr</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10.6</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Синхронизация времени</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41</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Vulnerability Management Policy (+ ASV)</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P/Pr</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11.3</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Внутр. + ASV ежеквартально</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42</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Penetration Testing Policy &amp; Reports</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P/R</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11.4</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Внутр./внеш. ежегодно</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43</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IDS/IPS &amp; FIM Procedures</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Pr</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11.5</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Обнаружение вторжений/целостность</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44</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Multi-Tenancy Isolation Document</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Pr</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A1.1</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Изоляция CT/VM/сети/хранилища</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45</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Hypervisor Security Standard (Virtuozzo HS)</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Pr</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2.2/A1</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Харднинг гипервизора</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46</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Customer-Facing Compliance Documentation</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Pr</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12.9</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Доказательства клиентам по запросу</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47</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Per-Tenant Logging Standard</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Pr</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A1.2</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Раздельный аудит-трейл</w:t>
            </w:r>
          </w:p>
        </w:tc>
      </w:tr>
      <w:tr>
        <w:tc>
          <w:tcPr>
            <w:tcW w:type="dxa" w:w="52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48</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Operational Evidence Records (set)</w:t>
            </w:r>
          </w:p>
        </w:tc>
        <w:tc>
          <w:tcPr>
            <w:tcW w:type="dxa" w:w="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R</w:t>
            </w:r>
          </w:p>
        </w:tc>
        <w:tc>
          <w:tcPr>
            <w:tcW w:type="dxa" w:w="13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разн.</w:t>
            </w:r>
          </w:p>
        </w:tc>
        <w:tc>
          <w:tcPr>
            <w:tcW w:type="dxa" w:w="298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Обзоры, сканы, тесты, ротации</w:t>
            </w:r>
          </w:p>
        </w:tc>
      </w:tr>
    </w:tbl>
    <w:p>
      <w:r>
        <w:br w:type="page"/>
      </w:r>
    </w:p>
    <w:p>
      <w:pPr>
        <w:pStyle w:val="Heading1"/>
      </w:pPr>
      <w:r>
        <w:t xml:space="preserve">2. Матрица ролей и ответственности (RACI) — выдержка</w:t>
      </w:r>
    </w:p>
    <w:p>
      <w:pPr>
        <w:spacing w:after="120"/>
      </w:pPr>
      <w:r>
        <w:t xml:space="preserve">Для каждого требования PCI DSS должен быть назначен владелец (Req. 12.4.1 для service provider). Ниже — каркас; заполняется реальными ролями.</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2200"/>
        <w:gridCol w:w="1900"/>
        <w:gridCol w:w="1100"/>
        <w:gridCol w:w="1160"/>
      </w:tblGrid>
      <w:tr>
        <w:trPr>
          <w:tblHeader/>
        </w:trPr>
        <w:tc>
          <w:tcPr>
            <w:tcW w:type="dxa" w:w="3000"/>
            <w:tcBorders>
              <w:top w:val="single" w:color="CCCCCC" w:sz="1"/>
              <w:left w:val="single" w:color="CCCCCC" w:sz="1"/>
              <w:bottom w:val="single" w:color="CCCCCC" w:sz="1"/>
              <w:right w:val="single" w:color="CCCCCC" w:sz="1"/>
            </w:tcBorders>
            <w:shd w:fill="D5E8F0" w:val="clear"/>
            <w:tcMar>
              <w:top w:type="dxa" w:w="60"/>
              <w:left w:type="dxa" w:w="110"/>
              <w:bottom w:type="dxa" w:w="60"/>
              <w:right w:type="dxa" w:w="110"/>
            </w:tcMar>
          </w:tcPr>
          <w:p>
            <w:pPr>
              <w:jc w:val="left"/>
            </w:pPr>
            <w:r>
              <w:rPr>
                <w:b/>
                <w:bCs/>
                <w:sz w:val="20"/>
                <w:szCs w:val="20"/>
              </w:rPr>
              <w:t xml:space="preserve">Требование</w:t>
            </w:r>
          </w:p>
        </w:tc>
        <w:tc>
          <w:tcPr>
            <w:tcW w:type="dxa" w:w="2200"/>
            <w:tcBorders>
              <w:top w:val="single" w:color="CCCCCC" w:sz="1"/>
              <w:left w:val="single" w:color="CCCCCC" w:sz="1"/>
              <w:bottom w:val="single" w:color="CCCCCC" w:sz="1"/>
              <w:right w:val="single" w:color="CCCCCC" w:sz="1"/>
            </w:tcBorders>
            <w:shd w:fill="D5E8F0" w:val="clear"/>
            <w:tcMar>
              <w:top w:type="dxa" w:w="60"/>
              <w:left w:type="dxa" w:w="110"/>
              <w:bottom w:type="dxa" w:w="60"/>
              <w:right w:type="dxa" w:w="110"/>
            </w:tcMar>
          </w:tcPr>
          <w:p>
            <w:pPr>
              <w:jc w:val="left"/>
            </w:pPr>
            <w:r>
              <w:rPr>
                <w:b/>
                <w:bCs/>
                <w:sz w:val="20"/>
                <w:szCs w:val="20"/>
              </w:rPr>
              <w:t xml:space="preserve">Responsible</w:t>
            </w:r>
          </w:p>
        </w:tc>
        <w:tc>
          <w:tcPr>
            <w:tcW w:type="dxa" w:w="1900"/>
            <w:tcBorders>
              <w:top w:val="single" w:color="CCCCCC" w:sz="1"/>
              <w:left w:val="single" w:color="CCCCCC" w:sz="1"/>
              <w:bottom w:val="single" w:color="CCCCCC" w:sz="1"/>
              <w:right w:val="single" w:color="CCCCCC" w:sz="1"/>
            </w:tcBorders>
            <w:shd w:fill="D5E8F0" w:val="clear"/>
            <w:tcMar>
              <w:top w:type="dxa" w:w="60"/>
              <w:left w:type="dxa" w:w="110"/>
              <w:bottom w:type="dxa" w:w="60"/>
              <w:right w:type="dxa" w:w="110"/>
            </w:tcMar>
          </w:tcPr>
          <w:p>
            <w:pPr>
              <w:jc w:val="left"/>
            </w:pPr>
            <w:r>
              <w:rPr>
                <w:b/>
                <w:bCs/>
                <w:sz w:val="20"/>
                <w:szCs w:val="20"/>
              </w:rPr>
              <w:t xml:space="preserve">Accountable</w:t>
            </w:r>
          </w:p>
        </w:tc>
        <w:tc>
          <w:tcPr>
            <w:tcW w:type="dxa" w:w="1100"/>
            <w:tcBorders>
              <w:top w:val="single" w:color="CCCCCC" w:sz="1"/>
              <w:left w:val="single" w:color="CCCCCC" w:sz="1"/>
              <w:bottom w:val="single" w:color="CCCCCC" w:sz="1"/>
              <w:right w:val="single" w:color="CCCCCC" w:sz="1"/>
            </w:tcBorders>
            <w:shd w:fill="D5E8F0" w:val="clear"/>
            <w:tcMar>
              <w:top w:type="dxa" w:w="60"/>
              <w:left w:type="dxa" w:w="110"/>
              <w:bottom w:type="dxa" w:w="60"/>
              <w:right w:type="dxa" w:w="110"/>
            </w:tcMar>
          </w:tcPr>
          <w:p>
            <w:pPr>
              <w:jc w:val="left"/>
            </w:pPr>
            <w:r>
              <w:rPr>
                <w:b/>
                <w:bCs/>
                <w:sz w:val="20"/>
                <w:szCs w:val="20"/>
              </w:rPr>
              <w:t xml:space="preserve">Consulted</w:t>
            </w:r>
          </w:p>
        </w:tc>
        <w:tc>
          <w:tcPr>
            <w:tcW w:type="dxa" w:w="1160"/>
            <w:tcBorders>
              <w:top w:val="single" w:color="CCCCCC" w:sz="1"/>
              <w:left w:val="single" w:color="CCCCCC" w:sz="1"/>
              <w:bottom w:val="single" w:color="CCCCCC" w:sz="1"/>
              <w:right w:val="single" w:color="CCCCCC" w:sz="1"/>
            </w:tcBorders>
            <w:shd w:fill="D5E8F0" w:val="clear"/>
            <w:tcMar>
              <w:top w:type="dxa" w:w="60"/>
              <w:left w:type="dxa" w:w="110"/>
              <w:bottom w:type="dxa" w:w="60"/>
              <w:right w:type="dxa" w:w="110"/>
            </w:tcMar>
          </w:tcPr>
          <w:p>
            <w:pPr>
              <w:jc w:val="left"/>
            </w:pPr>
            <w:r>
              <w:rPr>
                <w:b/>
                <w:bCs/>
                <w:sz w:val="20"/>
                <w:szCs w:val="20"/>
              </w:rPr>
              <w:t xml:space="preserve">Informed</w:t>
            </w:r>
          </w:p>
        </w:tc>
      </w:tr>
      <w:tr>
        <w:tc>
          <w:tcPr>
            <w:tcW w:type="dxa" w:w="30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 — NSC / FortiGate</w:t>
            </w:r>
          </w:p>
        </w:tc>
        <w:tc>
          <w:tcPr>
            <w:tcW w:type="dxa" w:w="2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Network Lead</w:t>
            </w:r>
          </w:p>
        </w:tc>
        <w:tc>
          <w:tcPr>
            <w:tcW w:type="dxa" w:w="19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Security Officer</w:t>
            </w:r>
          </w:p>
        </w:tc>
        <w:tc>
          <w:tcPr>
            <w:tcW w:type="dxa" w:w="11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CISO</w:t>
            </w:r>
          </w:p>
        </w:tc>
        <w:tc>
          <w:tcPr>
            <w:tcW w:type="dxa" w:w="11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Audit</w:t>
            </w:r>
          </w:p>
        </w:tc>
      </w:tr>
      <w:tr>
        <w:tc>
          <w:tcPr>
            <w:tcW w:type="dxa" w:w="30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2 — Hardening Virtuozzo</w:t>
            </w:r>
          </w:p>
        </w:tc>
        <w:tc>
          <w:tcPr>
            <w:tcW w:type="dxa" w:w="2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Virtualization Lead</w:t>
            </w:r>
          </w:p>
        </w:tc>
        <w:tc>
          <w:tcPr>
            <w:tcW w:type="dxa" w:w="19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Security Officer</w:t>
            </w:r>
          </w:p>
        </w:tc>
        <w:tc>
          <w:tcPr>
            <w:tcW w:type="dxa" w:w="11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CISO</w:t>
            </w:r>
          </w:p>
        </w:tc>
        <w:tc>
          <w:tcPr>
            <w:tcW w:type="dxa" w:w="11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Audit</w:t>
            </w:r>
          </w:p>
        </w:tc>
      </w:tr>
      <w:tr>
        <w:tc>
          <w:tcPr>
            <w:tcW w:type="dxa" w:w="30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3 — Хранение PAN/ключи</w:t>
            </w:r>
          </w:p>
        </w:tc>
        <w:tc>
          <w:tcPr>
            <w:tcW w:type="dxa" w:w="2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DBA / KeyCustodian</w:t>
            </w:r>
          </w:p>
        </w:tc>
        <w:tc>
          <w:tcPr>
            <w:tcW w:type="dxa" w:w="19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Security Officer</w:t>
            </w:r>
          </w:p>
        </w:tc>
        <w:tc>
          <w:tcPr>
            <w:tcW w:type="dxa" w:w="11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CISO</w:t>
            </w:r>
          </w:p>
        </w:tc>
        <w:tc>
          <w:tcPr>
            <w:tcW w:type="dxa" w:w="11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QSA</w:t>
            </w:r>
          </w:p>
        </w:tc>
      </w:tr>
      <w:tr>
        <w:tc>
          <w:tcPr>
            <w:tcW w:type="dxa" w:w="30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4 — Шифрование передачи</w:t>
            </w:r>
          </w:p>
        </w:tc>
        <w:tc>
          <w:tcPr>
            <w:tcW w:type="dxa" w:w="2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Network Lead</w:t>
            </w:r>
          </w:p>
        </w:tc>
        <w:tc>
          <w:tcPr>
            <w:tcW w:type="dxa" w:w="19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Security Officer</w:t>
            </w:r>
          </w:p>
        </w:tc>
        <w:tc>
          <w:tcPr>
            <w:tcW w:type="dxa" w:w="11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CISO</w:t>
            </w:r>
          </w:p>
        </w:tc>
        <w:tc>
          <w:tcPr>
            <w:tcW w:type="dxa" w:w="11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Audit</w:t>
            </w:r>
          </w:p>
        </w:tc>
      </w:tr>
      <w:tr>
        <w:tc>
          <w:tcPr>
            <w:tcW w:type="dxa" w:w="30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5 — Anti-malware</w:t>
            </w:r>
          </w:p>
        </w:tc>
        <w:tc>
          <w:tcPr>
            <w:tcW w:type="dxa" w:w="2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SysAdmin</w:t>
            </w:r>
          </w:p>
        </w:tc>
        <w:tc>
          <w:tcPr>
            <w:tcW w:type="dxa" w:w="19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Security Officer</w:t>
            </w:r>
          </w:p>
        </w:tc>
        <w:tc>
          <w:tcPr>
            <w:tcW w:type="dxa" w:w="11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CISO</w:t>
            </w:r>
          </w:p>
        </w:tc>
        <w:tc>
          <w:tcPr>
            <w:tcW w:type="dxa" w:w="11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Audit</w:t>
            </w:r>
          </w:p>
        </w:tc>
      </w:tr>
      <w:tr>
        <w:tc>
          <w:tcPr>
            <w:tcW w:type="dxa" w:w="30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6 — SDLC/патчи</w:t>
            </w:r>
          </w:p>
        </w:tc>
        <w:tc>
          <w:tcPr>
            <w:tcW w:type="dxa" w:w="2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Dev Lead / SysAdmin</w:t>
            </w:r>
          </w:p>
        </w:tc>
        <w:tc>
          <w:tcPr>
            <w:tcW w:type="dxa" w:w="19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Security Officer</w:t>
            </w:r>
          </w:p>
        </w:tc>
        <w:tc>
          <w:tcPr>
            <w:tcW w:type="dxa" w:w="11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CISO</w:t>
            </w:r>
          </w:p>
        </w:tc>
        <w:tc>
          <w:tcPr>
            <w:tcW w:type="dxa" w:w="11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Audit</w:t>
            </w:r>
          </w:p>
        </w:tc>
      </w:tr>
      <w:tr>
        <w:tc>
          <w:tcPr>
            <w:tcW w:type="dxa" w:w="30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7-8 — Доступ/MFA</w:t>
            </w:r>
          </w:p>
        </w:tc>
        <w:tc>
          <w:tcPr>
            <w:tcW w:type="dxa" w:w="2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IAM Lead</w:t>
            </w:r>
          </w:p>
        </w:tc>
        <w:tc>
          <w:tcPr>
            <w:tcW w:type="dxa" w:w="19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Security Officer</w:t>
            </w:r>
          </w:p>
        </w:tc>
        <w:tc>
          <w:tcPr>
            <w:tcW w:type="dxa" w:w="11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CISO</w:t>
            </w:r>
          </w:p>
        </w:tc>
        <w:tc>
          <w:tcPr>
            <w:tcW w:type="dxa" w:w="11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Audit</w:t>
            </w:r>
          </w:p>
        </w:tc>
      </w:tr>
      <w:tr>
        <w:tc>
          <w:tcPr>
            <w:tcW w:type="dxa" w:w="30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9 — Физ. безопасность</w:t>
            </w:r>
          </w:p>
        </w:tc>
        <w:tc>
          <w:tcPr>
            <w:tcW w:type="dxa" w:w="2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Facility Manager</w:t>
            </w:r>
          </w:p>
        </w:tc>
        <w:tc>
          <w:tcPr>
            <w:tcW w:type="dxa" w:w="19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Security Officer</w:t>
            </w:r>
          </w:p>
        </w:tc>
        <w:tc>
          <w:tcPr>
            <w:tcW w:type="dxa" w:w="11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CISO</w:t>
            </w:r>
          </w:p>
        </w:tc>
        <w:tc>
          <w:tcPr>
            <w:tcW w:type="dxa" w:w="11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Audit</w:t>
            </w:r>
          </w:p>
        </w:tc>
      </w:tr>
      <w:tr>
        <w:tc>
          <w:tcPr>
            <w:tcW w:type="dxa" w:w="30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10 — Логи/SIEM</w:t>
            </w:r>
          </w:p>
        </w:tc>
        <w:tc>
          <w:tcPr>
            <w:tcW w:type="dxa" w:w="2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SOC Lead</w:t>
            </w:r>
          </w:p>
        </w:tc>
        <w:tc>
          <w:tcPr>
            <w:tcW w:type="dxa" w:w="19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Security Officer</w:t>
            </w:r>
          </w:p>
        </w:tc>
        <w:tc>
          <w:tcPr>
            <w:tcW w:type="dxa" w:w="11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CISO</w:t>
            </w:r>
          </w:p>
        </w:tc>
        <w:tc>
          <w:tcPr>
            <w:tcW w:type="dxa" w:w="11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Audit</w:t>
            </w:r>
          </w:p>
        </w:tc>
      </w:tr>
      <w:tr>
        <w:tc>
          <w:tcPr>
            <w:tcW w:type="dxa" w:w="30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11 — Сканы/пентест</w:t>
            </w:r>
          </w:p>
        </w:tc>
        <w:tc>
          <w:tcPr>
            <w:tcW w:type="dxa" w:w="2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Security Eng.</w:t>
            </w:r>
          </w:p>
        </w:tc>
        <w:tc>
          <w:tcPr>
            <w:tcW w:type="dxa" w:w="19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Security Officer</w:t>
            </w:r>
          </w:p>
        </w:tc>
        <w:tc>
          <w:tcPr>
            <w:tcW w:type="dxa" w:w="11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CISO</w:t>
            </w:r>
          </w:p>
        </w:tc>
        <w:tc>
          <w:tcPr>
            <w:tcW w:type="dxa" w:w="11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QSA</w:t>
            </w:r>
          </w:p>
        </w:tc>
      </w:tr>
      <w:tr>
        <w:tc>
          <w:tcPr>
            <w:tcW w:type="dxa" w:w="30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12 — Политики/обучение</w:t>
            </w:r>
          </w:p>
        </w:tc>
        <w:tc>
          <w:tcPr>
            <w:tcW w:type="dxa" w:w="2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Compliance Mgr</w:t>
            </w:r>
          </w:p>
        </w:tc>
        <w:tc>
          <w:tcPr>
            <w:tcW w:type="dxa" w:w="19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CISO</w:t>
            </w:r>
          </w:p>
        </w:tc>
        <w:tc>
          <w:tcPr>
            <w:tcW w:type="dxa" w:w="11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CEO</w:t>
            </w:r>
          </w:p>
        </w:tc>
        <w:tc>
          <w:tcPr>
            <w:tcW w:type="dxa" w:w="11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QSA</w:t>
            </w:r>
          </w:p>
        </w:tc>
      </w:tr>
      <w:tr>
        <w:tc>
          <w:tcPr>
            <w:tcW w:type="dxa" w:w="30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A1 — Multi-tenant</w:t>
            </w:r>
          </w:p>
        </w:tc>
        <w:tc>
          <w:tcPr>
            <w:tcW w:type="dxa" w:w="2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Virtualization Lead</w:t>
            </w:r>
          </w:p>
        </w:tc>
        <w:tc>
          <w:tcPr>
            <w:tcW w:type="dxa" w:w="19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Security Officer</w:t>
            </w:r>
          </w:p>
        </w:tc>
        <w:tc>
          <w:tcPr>
            <w:tcW w:type="dxa" w:w="11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CISO</w:t>
            </w:r>
          </w:p>
        </w:tc>
        <w:tc>
          <w:tcPr>
            <w:tcW w:type="dxa" w:w="11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QSA</w:t>
            </w:r>
          </w:p>
        </w:tc>
      </w:tr>
    </w:tbl>
    <w:p>
      <w:r>
        <w:br w:type="page"/>
      </w:r>
    </w:p>
    <w:p>
      <w:pPr>
        <w:pStyle w:val="Heading1"/>
      </w:pPr>
      <w:r>
        <w:t xml:space="preserve">3. Матрица разделения ответственности (Shared Responsibility)</w:t>
      </w:r>
    </w:p>
    <w:p>
      <w:pPr>
        <w:spacing w:after="120"/>
      </w:pPr>
      <w:r>
        <w:t xml:space="preserve">Обязательна для Infrastructure SP (Req. 12.8.5 / 12.9.2). Определяет, какие требования покрывает оператор НА УРОВНЕ ИНФРАСТРУКТУРЫ, а какие остаются за тенантом ВНУТРИ его CDE. Оператор сертифицирует инфраструктуру; тенант сертифицирует свой CDE поверх неё, используя AOC оператора.</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2600"/>
        <w:gridCol w:w="2560"/>
      </w:tblGrid>
      <w:tr>
        <w:trPr>
          <w:tblHeader/>
        </w:trPr>
        <w:tc>
          <w:tcPr>
            <w:tcW w:type="dxa" w:w="4200"/>
            <w:tcBorders>
              <w:top w:val="single" w:color="CCCCCC" w:sz="1"/>
              <w:left w:val="single" w:color="CCCCCC" w:sz="1"/>
              <w:bottom w:val="single" w:color="CCCCCC" w:sz="1"/>
              <w:right w:val="single" w:color="CCCCCC" w:sz="1"/>
            </w:tcBorders>
            <w:shd w:fill="D5E8F0" w:val="clear"/>
            <w:tcMar>
              <w:top w:type="dxa" w:w="60"/>
              <w:left w:type="dxa" w:w="110"/>
              <w:bottom w:type="dxa" w:w="60"/>
              <w:right w:type="dxa" w:w="110"/>
            </w:tcMar>
          </w:tcPr>
          <w:p>
            <w:pPr>
              <w:jc w:val="left"/>
            </w:pPr>
            <w:r>
              <w:rPr>
                <w:b/>
                <w:bCs/>
                <w:sz w:val="20"/>
                <w:szCs w:val="20"/>
              </w:rPr>
              <w:t xml:space="preserve">Контроль / Требование</w:t>
            </w:r>
          </w:p>
        </w:tc>
        <w:tc>
          <w:tcPr>
            <w:tcW w:type="dxa" w:w="2600"/>
            <w:tcBorders>
              <w:top w:val="single" w:color="CCCCCC" w:sz="1"/>
              <w:left w:val="single" w:color="CCCCCC" w:sz="1"/>
              <w:bottom w:val="single" w:color="CCCCCC" w:sz="1"/>
              <w:right w:val="single" w:color="CCCCCC" w:sz="1"/>
            </w:tcBorders>
            <w:shd w:fill="D5E8F0" w:val="clear"/>
            <w:tcMar>
              <w:top w:type="dxa" w:w="60"/>
              <w:left w:type="dxa" w:w="110"/>
              <w:bottom w:type="dxa" w:w="60"/>
              <w:right w:type="dxa" w:w="110"/>
            </w:tcMar>
          </w:tcPr>
          <w:p>
            <w:pPr>
              <w:jc w:val="left"/>
            </w:pPr>
            <w:r>
              <w:rPr>
                <w:b/>
                <w:bCs/>
                <w:sz w:val="20"/>
                <w:szCs w:val="20"/>
              </w:rPr>
              <w:t xml:space="preserve">Ответственность оператора</w:t>
            </w:r>
          </w:p>
        </w:tc>
        <w:tc>
          <w:tcPr>
            <w:tcW w:type="dxa" w:w="2560"/>
            <w:tcBorders>
              <w:top w:val="single" w:color="CCCCCC" w:sz="1"/>
              <w:left w:val="single" w:color="CCCCCC" w:sz="1"/>
              <w:bottom w:val="single" w:color="CCCCCC" w:sz="1"/>
              <w:right w:val="single" w:color="CCCCCC" w:sz="1"/>
            </w:tcBorders>
            <w:shd w:fill="D5E8F0" w:val="clear"/>
            <w:tcMar>
              <w:top w:type="dxa" w:w="60"/>
              <w:left w:type="dxa" w:w="110"/>
              <w:bottom w:type="dxa" w:w="60"/>
              <w:right w:type="dxa" w:w="110"/>
            </w:tcMar>
          </w:tcPr>
          <w:p>
            <w:pPr>
              <w:jc w:val="left"/>
            </w:pPr>
            <w:r>
              <w:rPr>
                <w:b/>
                <w:bCs/>
                <w:sz w:val="20"/>
                <w:szCs w:val="20"/>
              </w:rPr>
              <w:t xml:space="preserve">Ответственность клиента</w:t>
            </w:r>
          </w:p>
        </w:tc>
      </w:tr>
      <w:tr>
        <w:tc>
          <w:tcPr>
            <w:tcW w:type="dxa" w:w="4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Физ. безопасность ЦОД (9.x)</w:t>
            </w:r>
          </w:p>
        </w:tc>
        <w:tc>
          <w:tcPr>
            <w:tcW w:type="dxa" w:w="2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Оператор</w:t>
            </w:r>
          </w:p>
        </w:tc>
        <w:tc>
          <w:tcPr>
            <w:tcW w:type="dxa" w:w="2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w:t>
            </w:r>
          </w:p>
        </w:tc>
      </w:tr>
      <w:tr>
        <w:tc>
          <w:tcPr>
            <w:tcW w:type="dxa" w:w="4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Гипервизор / харднинг узлов (2.2, A1)</w:t>
            </w:r>
          </w:p>
        </w:tc>
        <w:tc>
          <w:tcPr>
            <w:tcW w:type="dxa" w:w="2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Оператор</w:t>
            </w:r>
          </w:p>
        </w:tc>
        <w:tc>
          <w:tcPr>
            <w:tcW w:type="dxa" w:w="2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w:t>
            </w:r>
          </w:p>
        </w:tc>
      </w:tr>
      <w:tr>
        <w:tc>
          <w:tcPr>
            <w:tcW w:type="dxa" w:w="4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Сегментация CDE/tenant (1.3/1.4)</w:t>
            </w:r>
          </w:p>
        </w:tc>
        <w:tc>
          <w:tcPr>
            <w:tcW w:type="dxa" w:w="2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Оператор</w:t>
            </w:r>
          </w:p>
        </w:tc>
        <w:tc>
          <w:tcPr>
            <w:tcW w:type="dxa" w:w="2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Конфиг внутри своей сети</w:t>
            </w:r>
          </w:p>
        </w:tc>
      </w:tr>
      <w:tr>
        <w:tc>
          <w:tcPr>
            <w:tcW w:type="dxa" w:w="4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Сетевые политики периметра (1.2)</w:t>
            </w:r>
          </w:p>
        </w:tc>
        <w:tc>
          <w:tcPr>
            <w:tcW w:type="dxa" w:w="2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Оператор</w:t>
            </w:r>
          </w:p>
        </w:tc>
        <w:tc>
          <w:tcPr>
            <w:tcW w:type="dxa" w:w="2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w:t>
            </w:r>
          </w:p>
        </w:tc>
      </w:tr>
      <w:tr>
        <w:tc>
          <w:tcPr>
            <w:tcW w:type="dxa" w:w="4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Шифрование at-rest хранилища (3.5)</w:t>
            </w:r>
          </w:p>
        </w:tc>
        <w:tc>
          <w:tcPr>
            <w:tcW w:type="dxa" w:w="2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Оператор</w:t>
            </w:r>
          </w:p>
        </w:tc>
        <w:tc>
          <w:tcPr>
            <w:tcW w:type="dxa" w:w="2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Шифрование на уровне приложения</w:t>
            </w:r>
          </w:p>
        </w:tc>
      </w:tr>
      <w:tr>
        <w:tc>
          <w:tcPr>
            <w:tcW w:type="dxa" w:w="4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ОС гостевой VM/CT (2.2, 6.3)</w:t>
            </w:r>
          </w:p>
        </w:tc>
        <w:tc>
          <w:tcPr>
            <w:tcW w:type="dxa" w:w="2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Совместно</w:t>
            </w:r>
          </w:p>
        </w:tc>
        <w:tc>
          <w:tcPr>
            <w:tcW w:type="dxa" w:w="2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Клиент (его ОС)</w:t>
            </w:r>
          </w:p>
        </w:tc>
      </w:tr>
      <w:tr>
        <w:tc>
          <w:tcPr>
            <w:tcW w:type="dxa" w:w="4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Приложение, обработка PAN (3.x,4.x,6.x)</w:t>
            </w:r>
          </w:p>
        </w:tc>
        <w:tc>
          <w:tcPr>
            <w:tcW w:type="dxa" w:w="2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w:t>
            </w:r>
          </w:p>
        </w:tc>
        <w:tc>
          <w:tcPr>
            <w:tcW w:type="dxa" w:w="2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Клиент</w:t>
            </w:r>
          </w:p>
        </w:tc>
      </w:tr>
      <w:tr>
        <w:tc>
          <w:tcPr>
            <w:tcW w:type="dxa" w:w="4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Управление доступом к тенанту (7,8)</w:t>
            </w:r>
          </w:p>
        </w:tc>
        <w:tc>
          <w:tcPr>
            <w:tcW w:type="dxa" w:w="2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Оператор (платформа)</w:t>
            </w:r>
          </w:p>
        </w:tc>
        <w:tc>
          <w:tcPr>
            <w:tcW w:type="dxa" w:w="2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Клиент (свои учётки)</w:t>
            </w:r>
          </w:p>
        </w:tc>
      </w:tr>
      <w:tr>
        <w:tc>
          <w:tcPr>
            <w:tcW w:type="dxa" w:w="4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Логирование платформы (10)</w:t>
            </w:r>
          </w:p>
        </w:tc>
        <w:tc>
          <w:tcPr>
            <w:tcW w:type="dxa" w:w="2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Оператор</w:t>
            </w:r>
          </w:p>
        </w:tc>
        <w:tc>
          <w:tcPr>
            <w:tcW w:type="dxa" w:w="2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Клиент (логи приложения)</w:t>
            </w:r>
          </w:p>
        </w:tc>
      </w:tr>
      <w:tr>
        <w:tc>
          <w:tcPr>
            <w:tcW w:type="dxa" w:w="4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Vuln-скан/пентест инфраструктуры (11)</w:t>
            </w:r>
          </w:p>
        </w:tc>
        <w:tc>
          <w:tcPr>
            <w:tcW w:type="dxa" w:w="2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Оператор</w:t>
            </w:r>
          </w:p>
        </w:tc>
        <w:tc>
          <w:tcPr>
            <w:tcW w:type="dxa" w:w="2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Клиент (своё ПО)</w:t>
            </w:r>
          </w:p>
        </w:tc>
      </w:tr>
      <w:tr>
        <w:tc>
          <w:tcPr>
            <w:tcW w:type="dxa" w:w="4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Реагирование на инциденты (12.10)</w:t>
            </w:r>
          </w:p>
        </w:tc>
        <w:tc>
          <w:tcPr>
            <w:tcW w:type="dxa" w:w="2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Оператор (инфра)</w:t>
            </w:r>
          </w:p>
        </w:tc>
        <w:tc>
          <w:tcPr>
            <w:tcW w:type="dxa" w:w="25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Клиент (приложение)</w:t>
            </w:r>
          </w:p>
        </w:tc>
      </w:tr>
    </w:tbl>
    <w:p>
      <w:r>
        <w:br w:type="page"/>
      </w:r>
    </w:p>
    <w:p>
      <w:pPr>
        <w:pStyle w:val="Heading1"/>
      </w:pPr>
      <w:r>
        <w:t xml:space="preserve">4. Шаблоны ключевых политик (каркас для заполнения)</w:t>
      </w:r>
    </w:p>
    <w:p>
      <w:pPr>
        <w:spacing w:after="120"/>
      </w:pPr>
      <w:r>
        <w:t xml:space="preserve">Каждая политика должна иметь: владельца, дату утверждения, дату пересмотра (не реже раза в 12 мес. — Req. 12.1.1), историю версий и подтверждение ознакомления персонала.</w:t>
      </w:r>
    </w:p>
    <w:p>
      <w:pPr>
        <w:pStyle w:val="Heading2"/>
      </w:pPr>
      <w:r>
        <w:t xml:space="preserve">4.1. Information Security Policy (Req. 12.1)</w:t>
      </w:r>
    </w:p>
    <w:p>
      <w:pPr>
        <w:spacing w:after="60"/>
      </w:pPr>
      <w:r>
        <w:rPr>
          <w:b/>
          <w:bCs/>
        </w:rPr>
        <w:t xml:space="preserve">Цель: </w:t>
      </w:r>
      <w:r>
        <w:t xml:space="preserve">Установить требования ИБ для защиты данных держателей карт во всей инфраструктуре IaaS.</w:t>
      </w:r>
    </w:p>
    <w:p>
      <w:pPr>
        <w:spacing w:after="60"/>
      </w:pPr>
      <w:r>
        <w:rPr>
          <w:b/>
          <w:bCs/>
        </w:rPr>
        <w:t xml:space="preserve">Область: </w:t>
      </w:r>
      <w:r>
        <w:t xml:space="preserve">Все компоненты CDE: узлы Virtuozzo HS, FortiGate, гостевые VM/CT с обработкой PAN, MGMT-сервисы, персонал и подрядчики.</w:t>
      </w:r>
    </w:p>
    <w:p>
      <w:pPr>
        <w:spacing w:after="60"/>
      </w:pPr>
      <w:r>
        <w:rPr>
          <w:b/>
          <w:bCs/>
        </w:rPr>
        <w:t xml:space="preserve">Положения: </w:t>
      </w:r>
      <w:r>
        <w:t xml:space="preserve">Соответствие 12 требованиям PCI DSS; ежегодный пересмотр; назначение ответственных (12.4); управление рисками (12.3).</w:t>
      </w:r>
    </w:p>
    <w:p>
      <w:pPr>
        <w:spacing w:after="60"/>
      </w:pPr>
      <w:r>
        <w:rPr>
          <w:b/>
          <w:bCs/>
        </w:rPr>
        <w:t xml:space="preserve">Контроль: </w:t>
      </w:r>
      <w:r>
        <w:t xml:space="preserve">Ежегодный пересмотр и при значимых изменениях; распространение всему релевантному персоналу (12.1.3).</w:t>
      </w:r>
    </w:p>
    <w:p>
      <w:pPr>
        <w:pStyle w:val="Heading2"/>
      </w:pPr>
      <w:r>
        <w:t xml:space="preserve">4.2. NSC Configuration Standard — FortiGate (Req. 1.1/1.2)</w:t>
      </w:r>
    </w:p>
    <w:p>
      <w:pPr>
        <w:pStyle w:val="ListParagraph"/>
        <w:numPr>
          <w:ilvl w:val="0"/>
          <w:numId w:val="2"/>
        </w:numPr>
        <w:spacing w:after="40"/>
      </w:pPr>
      <w:r>
        <w:t xml:space="preserve">Стандарт конфигурации обоих FortiGate 1800F (HA): версия прошивки, базовый конфиг, запрет небезопасных сервисов.</w:t>
      </w:r>
    </w:p>
    <w:p>
      <w:pPr>
        <w:pStyle w:val="ListParagraph"/>
        <w:numPr>
          <w:ilvl w:val="0"/>
          <w:numId w:val="2"/>
        </w:numPr>
        <w:spacing w:after="40"/>
      </w:pPr>
      <w:r>
        <w:t xml:space="preserve">Документированный набор правил для каждого VDOM (EDGE/DMZ/CDE/MGMT/TENANT), принцип deny-by-default.</w:t>
      </w:r>
    </w:p>
    <w:p>
      <w:pPr>
        <w:pStyle w:val="ListParagraph"/>
        <w:numPr>
          <w:ilvl w:val="0"/>
          <w:numId w:val="2"/>
        </w:numPr>
        <w:spacing w:after="40"/>
      </w:pPr>
      <w:r>
        <w:t xml:space="preserve">Обоснование каждого разрешённого порта/протокола (Req. 1.2.1).</w:t>
      </w:r>
    </w:p>
    <w:p>
      <w:pPr>
        <w:pStyle w:val="ListParagraph"/>
        <w:numPr>
          <w:ilvl w:val="0"/>
          <w:numId w:val="2"/>
        </w:numPr>
        <w:spacing w:after="40"/>
      </w:pPr>
      <w:r>
        <w:t xml:space="preserve">Обзор набора правил не реже одного раза в 6 месяцев (Req. 1.2.7), записи обзора.</w:t>
      </w:r>
    </w:p>
    <w:p>
      <w:pPr>
        <w:pStyle w:val="ListParagraph"/>
        <w:numPr>
          <w:ilvl w:val="0"/>
          <w:numId w:val="2"/>
        </w:numPr>
        <w:spacing w:after="40"/>
      </w:pPr>
      <w:r>
        <w:t xml:space="preserve">Логирование всех NSC-событий в SIEM (Req. 1.2.6).</w:t>
      </w:r>
    </w:p>
    <w:p>
      <w:pPr>
        <w:pStyle w:val="Heading2"/>
      </w:pPr>
      <w:r>
        <w:t xml:space="preserve">4.3. System Hardening Standard — Virtuozzo HS (Req. 2.2)</w:t>
      </w:r>
    </w:p>
    <w:p>
      <w:pPr>
        <w:pStyle w:val="ListParagraph"/>
        <w:numPr>
          <w:ilvl w:val="0"/>
          <w:numId w:val="2"/>
        </w:numPr>
        <w:spacing w:after="40"/>
      </w:pPr>
      <w:r>
        <w:t xml:space="preserve">Новый стандарт под Virtuozzo Hybrid Server (заменяет прежний под ESXi). База — CIS / вендорские рекомендации.</w:t>
      </w:r>
    </w:p>
    <w:p>
      <w:pPr>
        <w:pStyle w:val="ListParagraph"/>
        <w:numPr>
          <w:ilvl w:val="0"/>
          <w:numId w:val="2"/>
        </w:numPr>
        <w:spacing w:after="40"/>
      </w:pPr>
      <w:r>
        <w:t xml:space="preserve">Удаление дефолтных учётных записей и паролей, отключение неиспользуемых сервисов (2.2.2/2.2.4).</w:t>
      </w:r>
    </w:p>
    <w:p>
      <w:pPr>
        <w:pStyle w:val="ListParagraph"/>
        <w:numPr>
          <w:ilvl w:val="0"/>
          <w:numId w:val="2"/>
        </w:numPr>
        <w:spacing w:after="40"/>
      </w:pPr>
      <w:r>
        <w:t xml:space="preserve">Один primary-функционал на сервер либо обоснованная изоляция функций (2.2.3).</w:t>
      </w:r>
    </w:p>
    <w:p>
      <w:pPr>
        <w:pStyle w:val="ListParagraph"/>
        <w:numPr>
          <w:ilvl w:val="0"/>
          <w:numId w:val="2"/>
        </w:numPr>
        <w:spacing w:after="40"/>
      </w:pPr>
      <w:r>
        <w:t xml:space="preserve">Управление через защищённые протоколы; out-of-band MGMT (2.2.7).</w:t>
      </w:r>
    </w:p>
    <w:p>
      <w:pPr>
        <w:pStyle w:val="ListParagraph"/>
        <w:numPr>
          <w:ilvl w:val="0"/>
          <w:numId w:val="2"/>
        </w:numPr>
        <w:spacing w:after="40"/>
      </w:pPr>
      <w:r>
        <w:t xml:space="preserve">Харднинг гипервизора и изоляция гостей CT/VM (A1).</w:t>
      </w:r>
    </w:p>
    <w:p>
      <w:pPr>
        <w:pStyle w:val="Heading2"/>
      </w:pPr>
      <w:r>
        <w:t xml:space="preserve">4.4. Access Control &amp; Authentication (Req. 7, 8)</w:t>
      </w:r>
    </w:p>
    <w:p>
      <w:pPr>
        <w:pStyle w:val="ListParagraph"/>
        <w:numPr>
          <w:ilvl w:val="0"/>
          <w:numId w:val="2"/>
        </w:numPr>
        <w:spacing w:after="40"/>
      </w:pPr>
      <w:r>
        <w:t xml:space="preserve">RBAC, least privilege, need-to-know (7.2/7.3).</w:t>
      </w:r>
    </w:p>
    <w:p>
      <w:pPr>
        <w:pStyle w:val="ListParagraph"/>
        <w:numPr>
          <w:ilvl w:val="0"/>
          <w:numId w:val="2"/>
        </w:numPr>
        <w:spacing w:after="40"/>
      </w:pPr>
      <w:r>
        <w:t xml:space="preserve">Уникальные идентификаторы; запрет общих учёток (8.2).</w:t>
      </w:r>
    </w:p>
    <w:p>
      <w:pPr>
        <w:pStyle w:val="ListParagraph"/>
        <w:numPr>
          <w:ilvl w:val="0"/>
          <w:numId w:val="2"/>
        </w:numPr>
        <w:spacing w:after="40"/>
      </w:pPr>
      <w:r>
        <w:t xml:space="preserve">MFA для всего доступа в CDE, включая внутренних пользователей (8.4.2), и для всего удалённого доступа (8.4.1/8.5).</w:t>
      </w:r>
    </w:p>
    <w:p>
      <w:pPr>
        <w:pStyle w:val="ListParagraph"/>
        <w:numPr>
          <w:ilvl w:val="0"/>
          <w:numId w:val="2"/>
        </w:numPr>
        <w:spacing w:after="40"/>
      </w:pPr>
      <w:r>
        <w:t xml:space="preserve">Обзор учётных записей и прав не реже раза в 6 месяцев для SP (7.2.5/8.2.x).</w:t>
      </w:r>
    </w:p>
    <w:p>
      <w:pPr>
        <w:pStyle w:val="Heading2"/>
      </w:pPr>
      <w:r>
        <w:t xml:space="preserve">4.5. Logging &amp; Monitoring (Req. 10)</w:t>
      </w:r>
    </w:p>
    <w:p>
      <w:pPr>
        <w:pStyle w:val="ListParagraph"/>
        <w:numPr>
          <w:ilvl w:val="0"/>
          <w:numId w:val="2"/>
        </w:numPr>
        <w:spacing w:after="40"/>
      </w:pPr>
      <w:r>
        <w:t xml:space="preserve">Подключить платформенные источники: Virtuozzo HS, панель Virtuozzo, FortiGate — в SIEM оператора (изменение при миграции). Внутренние логи клиентских CDE ведёт сам клиент.</w:t>
      </w:r>
    </w:p>
    <w:p>
      <w:pPr>
        <w:pStyle w:val="ListParagraph"/>
        <w:numPr>
          <w:ilvl w:val="0"/>
          <w:numId w:val="2"/>
        </w:numPr>
        <w:spacing w:after="40"/>
      </w:pPr>
      <w:r>
        <w:t xml:space="preserve">Журналирование на уровне платформы: привилегированные операции операторов, действия в панели, события FortiGate (10.2). Доступ к CHD внутри CDE логирует клиент в своём ROC.</w:t>
      </w:r>
    </w:p>
    <w:p>
      <w:pPr>
        <w:pStyle w:val="ListParagraph"/>
        <w:numPr>
          <w:ilvl w:val="0"/>
          <w:numId w:val="2"/>
        </w:numPr>
        <w:spacing w:after="40"/>
      </w:pPr>
      <w:r>
        <w:t xml:space="preserve">Защита логов от изменения, синхронизация времени NTP (10.5/10.6).</w:t>
      </w:r>
    </w:p>
    <w:p>
      <w:pPr>
        <w:pStyle w:val="ListParagraph"/>
        <w:numPr>
          <w:ilvl w:val="0"/>
          <w:numId w:val="2"/>
        </w:numPr>
        <w:spacing w:after="40"/>
      </w:pPr>
      <w:r>
        <w:t xml:space="preserve">Ежедневный обзор событий безопасности (10.4.1), хранение ≥12 месяцев, ≥3 мес. онлайн (10.5.1).</w:t>
      </w:r>
    </w:p>
    <w:p>
      <w:pPr>
        <w:pStyle w:val="Heading2"/>
      </w:pPr>
      <w:r>
        <w:t xml:space="preserve">4.6. Vulnerability &amp; Penetration Testing (Req. 11)</w:t>
      </w:r>
    </w:p>
    <w:p>
      <w:pPr>
        <w:pStyle w:val="ListParagraph"/>
        <w:numPr>
          <w:ilvl w:val="0"/>
          <w:numId w:val="2"/>
        </w:numPr>
        <w:spacing w:after="40"/>
      </w:pPr>
      <w:r>
        <w:t xml:space="preserve">Внутренние сканы ежеквартально и после значимых изменений (11.3.1/11.3.1.3).</w:t>
      </w:r>
    </w:p>
    <w:p>
      <w:pPr>
        <w:pStyle w:val="ListParagraph"/>
        <w:numPr>
          <w:ilvl w:val="0"/>
          <w:numId w:val="2"/>
        </w:numPr>
        <w:spacing w:after="40"/>
      </w:pPr>
      <w:r>
        <w:t xml:space="preserve">Внешние ASV-сканы ежеквартально (11.3.2).</w:t>
      </w:r>
    </w:p>
    <w:p>
      <w:pPr>
        <w:pStyle w:val="ListParagraph"/>
        <w:numPr>
          <w:ilvl w:val="0"/>
          <w:numId w:val="2"/>
        </w:numPr>
        <w:spacing w:after="40"/>
      </w:pPr>
      <w:r>
        <w:t xml:space="preserve">Пентест внутр./внеш. ежегодно и после значимых изменений (11.4.3/11.4.5).</w:t>
      </w:r>
    </w:p>
    <w:p>
      <w:pPr>
        <w:pStyle w:val="ListParagraph"/>
        <w:numPr>
          <w:ilvl w:val="0"/>
          <w:numId w:val="2"/>
        </w:numPr>
        <w:spacing w:after="40"/>
      </w:pPr>
      <w:r>
        <w:t xml:space="preserve">Тест сегментации (11.4.5) — для SP каждые 6 месяцев; выполнить заново после миграции на Virtuozzo.</w:t>
      </w:r>
    </w:p>
    <w:p>
      <w:r>
        <w:br w:type="page"/>
      </w:r>
    </w:p>
    <w:p>
      <w:pPr>
        <w:pStyle w:val="Heading1"/>
      </w:pPr>
      <w:r>
        <w:t xml:space="preserve">5. Change-Impact: VMware (vSphere + vCloud Director + NSX-T) → Virtuozzo</w:t>
      </w:r>
    </w:p>
    <w:p>
      <w:pPr>
        <w:spacing w:after="120"/>
      </w:pPr>
      <w:r>
        <w:t xml:space="preserve">Таблица сопоставляет прежнюю и новую реализацию по всем трём заменяемым компонентам и переоцениваемые требования. Прикладывается к формальному change-record (Req. 6.5.1) и обосновывает объём full reassessment. Графически — лист 4 в drawio.</w:t>
      </w:r>
    </w:p>
    <w:p>
      <w:pPr>
        <w:pStyle w:val="Heading2"/>
      </w:pPr>
      <w:r>
        <w:t xml:space="preserve">5.1. Компонент: платформа виртуализации (vSphere/ESXi)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3400"/>
        <w:gridCol w:w="2760"/>
      </w:tblGrid>
      <w:tr>
        <w:trPr>
          <w:tblHeader/>
        </w:trPr>
        <w:tc>
          <w:tcPr>
            <w:tcW w:type="dxa" w:w="3200"/>
            <w:tcBorders>
              <w:top w:val="single" w:color="CCCCCC" w:sz="1"/>
              <w:left w:val="single" w:color="CCCCCC" w:sz="1"/>
              <w:bottom w:val="single" w:color="CCCCCC" w:sz="1"/>
              <w:right w:val="single" w:color="CCCCCC" w:sz="1"/>
            </w:tcBorders>
            <w:shd w:fill="D5E8F0" w:val="clear"/>
            <w:tcMar>
              <w:top w:type="dxa" w:w="60"/>
              <w:left w:type="dxa" w:w="110"/>
              <w:bottom w:type="dxa" w:w="60"/>
              <w:right w:type="dxa" w:w="110"/>
            </w:tcMar>
          </w:tcPr>
          <w:p>
            <w:pPr>
              <w:jc w:val="left"/>
            </w:pPr>
            <w:r>
              <w:rPr>
                <w:b/>
                <w:bCs/>
                <w:sz w:val="20"/>
                <w:szCs w:val="20"/>
              </w:rPr>
              <w:t xml:space="preserve">Было (VMware)</w:t>
            </w:r>
          </w:p>
        </w:tc>
        <w:tc>
          <w:tcPr>
            <w:tcW w:type="dxa" w:w="3400"/>
            <w:tcBorders>
              <w:top w:val="single" w:color="CCCCCC" w:sz="1"/>
              <w:left w:val="single" w:color="CCCCCC" w:sz="1"/>
              <w:bottom w:val="single" w:color="CCCCCC" w:sz="1"/>
              <w:right w:val="single" w:color="CCCCCC" w:sz="1"/>
            </w:tcBorders>
            <w:shd w:fill="D5E8F0" w:val="clear"/>
            <w:tcMar>
              <w:top w:type="dxa" w:w="60"/>
              <w:left w:type="dxa" w:w="110"/>
              <w:bottom w:type="dxa" w:w="60"/>
              <w:right w:type="dxa" w:w="110"/>
            </w:tcMar>
          </w:tcPr>
          <w:p>
            <w:pPr>
              <w:jc w:val="left"/>
            </w:pPr>
            <w:r>
              <w:rPr>
                <w:b/>
                <w:bCs/>
                <w:sz w:val="20"/>
                <w:szCs w:val="20"/>
              </w:rPr>
              <w:t xml:space="preserve">Стало (Virtuozzo)</w:t>
            </w:r>
          </w:p>
        </w:tc>
        <w:tc>
          <w:tcPr>
            <w:tcW w:type="dxa" w:w="2760"/>
            <w:tcBorders>
              <w:top w:val="single" w:color="CCCCCC" w:sz="1"/>
              <w:left w:val="single" w:color="CCCCCC" w:sz="1"/>
              <w:bottom w:val="single" w:color="CCCCCC" w:sz="1"/>
              <w:right w:val="single" w:color="CCCCCC" w:sz="1"/>
            </w:tcBorders>
            <w:shd w:fill="D5E8F0" w:val="clear"/>
            <w:tcMar>
              <w:top w:type="dxa" w:w="60"/>
              <w:left w:type="dxa" w:w="110"/>
              <w:bottom w:type="dxa" w:w="60"/>
              <w:right w:type="dxa" w:w="110"/>
            </w:tcMar>
          </w:tcPr>
          <w:p>
            <w:pPr>
              <w:jc w:val="left"/>
            </w:pPr>
            <w:r>
              <w:rPr>
                <w:b/>
                <w:bCs/>
                <w:sz w:val="20"/>
                <w:szCs w:val="20"/>
              </w:rPr>
              <w:t xml:space="preserve">Переоценка (Req.)</w:t>
            </w:r>
          </w:p>
        </w:tc>
      </w:tr>
      <w:tr>
        <w:tc>
          <w:tcPr>
            <w:tcW w:type="dxa" w:w="3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ESXi + vCenter</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4× Virtuozzo HS + панель Virtuozzo</w:t>
            </w:r>
          </w:p>
        </w:tc>
        <w:tc>
          <w:tcPr>
            <w:tcW w:type="dxa" w:w="27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2.2, 1.2, 12.5.1</w:t>
            </w:r>
          </w:p>
        </w:tc>
      </w:tr>
      <w:tr>
        <w:tc>
          <w:tcPr>
            <w:tcW w:type="dxa" w:w="3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VMFS / vSAN</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Virtuozzo Storage (реплика 3), at-rest шифр.</w:t>
            </w:r>
          </w:p>
        </w:tc>
        <w:tc>
          <w:tcPr>
            <w:tcW w:type="dxa" w:w="27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3.5, 9.4, 3.6/3.7</w:t>
            </w:r>
          </w:p>
        </w:tc>
      </w:tr>
      <w:tr>
        <w:tc>
          <w:tcPr>
            <w:tcW w:type="dxa" w:w="3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vSphere SSO / RBAC</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Virtuozzo RBAC + AAA (RADIUS/AD), MFA</w:t>
            </w:r>
          </w:p>
        </w:tc>
        <w:tc>
          <w:tcPr>
            <w:tcW w:type="dxa" w:w="27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7, 8.2-8.5</w:t>
            </w:r>
          </w:p>
        </w:tc>
      </w:tr>
      <w:tr>
        <w:tc>
          <w:tcPr>
            <w:tcW w:type="dxa" w:w="3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ESXi hardening (CIS VMware)</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Virtuozzo HS hardening (новый стандарт)</w:t>
            </w:r>
          </w:p>
        </w:tc>
        <w:tc>
          <w:tcPr>
            <w:tcW w:type="dxa" w:w="27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2.2, 6.3.3, 6.2</w:t>
            </w:r>
          </w:p>
        </w:tc>
      </w:tr>
      <w:tr>
        <w:tc>
          <w:tcPr>
            <w:tcW w:type="dxa" w:w="3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vCenter logs → SIEM</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Платформенные логи Virtuozzo/FortiGate → SIEM оператора</w:t>
            </w:r>
          </w:p>
        </w:tc>
        <w:tc>
          <w:tcPr>
            <w:tcW w:type="dxa" w:w="27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10.2-10.7, 10.6</w:t>
            </w:r>
          </w:p>
        </w:tc>
      </w:tr>
    </w:tbl>
    <w:p>
      <w:pPr>
        <w:spacing w:after="120"/>
      </w:pPr>
    </w:p>
    <w:p>
      <w:pPr>
        <w:pStyle w:val="Heading2"/>
      </w:pPr>
      <w:r>
        <w:t xml:space="preserve">5.2. Компонент: оркестрация и портал тенантов (vCloud Director)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3400"/>
        <w:gridCol w:w="2760"/>
      </w:tblGrid>
      <w:tr>
        <w:trPr>
          <w:tblHeader/>
        </w:trPr>
        <w:tc>
          <w:tcPr>
            <w:tcW w:type="dxa" w:w="3200"/>
            <w:tcBorders>
              <w:top w:val="single" w:color="CCCCCC" w:sz="1"/>
              <w:left w:val="single" w:color="CCCCCC" w:sz="1"/>
              <w:bottom w:val="single" w:color="CCCCCC" w:sz="1"/>
              <w:right w:val="single" w:color="CCCCCC" w:sz="1"/>
            </w:tcBorders>
            <w:shd w:fill="D5E8F0" w:val="clear"/>
            <w:tcMar>
              <w:top w:type="dxa" w:w="60"/>
              <w:left w:type="dxa" w:w="110"/>
              <w:bottom w:type="dxa" w:w="60"/>
              <w:right w:type="dxa" w:w="110"/>
            </w:tcMar>
          </w:tcPr>
          <w:p>
            <w:pPr>
              <w:jc w:val="left"/>
            </w:pPr>
            <w:r>
              <w:rPr>
                <w:b/>
                <w:bCs/>
                <w:sz w:val="20"/>
                <w:szCs w:val="20"/>
              </w:rPr>
              <w:t xml:space="preserve">Было (vCloud Director)</w:t>
            </w:r>
          </w:p>
        </w:tc>
        <w:tc>
          <w:tcPr>
            <w:tcW w:type="dxa" w:w="3400"/>
            <w:tcBorders>
              <w:top w:val="single" w:color="CCCCCC" w:sz="1"/>
              <w:left w:val="single" w:color="CCCCCC" w:sz="1"/>
              <w:bottom w:val="single" w:color="CCCCCC" w:sz="1"/>
              <w:right w:val="single" w:color="CCCCCC" w:sz="1"/>
            </w:tcBorders>
            <w:shd w:fill="D5E8F0" w:val="clear"/>
            <w:tcMar>
              <w:top w:type="dxa" w:w="60"/>
              <w:left w:type="dxa" w:w="110"/>
              <w:bottom w:type="dxa" w:w="60"/>
              <w:right w:type="dxa" w:w="110"/>
            </w:tcMar>
          </w:tcPr>
          <w:p>
            <w:pPr>
              <w:jc w:val="left"/>
            </w:pPr>
            <w:r>
              <w:rPr>
                <w:b/>
                <w:bCs/>
                <w:sz w:val="20"/>
                <w:szCs w:val="20"/>
              </w:rPr>
              <w:t xml:space="preserve">Стало (Virtuozzo)</w:t>
            </w:r>
          </w:p>
        </w:tc>
        <w:tc>
          <w:tcPr>
            <w:tcW w:type="dxa" w:w="2760"/>
            <w:tcBorders>
              <w:top w:val="single" w:color="CCCCCC" w:sz="1"/>
              <w:left w:val="single" w:color="CCCCCC" w:sz="1"/>
              <w:bottom w:val="single" w:color="CCCCCC" w:sz="1"/>
              <w:right w:val="single" w:color="CCCCCC" w:sz="1"/>
            </w:tcBorders>
            <w:shd w:fill="D5E8F0" w:val="clear"/>
            <w:tcMar>
              <w:top w:type="dxa" w:w="60"/>
              <w:left w:type="dxa" w:w="110"/>
              <w:bottom w:type="dxa" w:w="60"/>
              <w:right w:type="dxa" w:w="110"/>
            </w:tcMar>
          </w:tcPr>
          <w:p>
            <w:pPr>
              <w:jc w:val="left"/>
            </w:pPr>
            <w:r>
              <w:rPr>
                <w:b/>
                <w:bCs/>
                <w:sz w:val="20"/>
                <w:szCs w:val="20"/>
              </w:rPr>
              <w:t xml:space="preserve">Переоценка (Req.)</w:t>
            </w:r>
          </w:p>
        </w:tc>
      </w:tr>
      <w:tr>
        <w:tc>
          <w:tcPr>
            <w:tcW w:type="dxa" w:w="3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vCD Organizations / Org VDC</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Объекты тенантов в панели Virtuozzo</w:t>
            </w:r>
          </w:p>
        </w:tc>
        <w:tc>
          <w:tcPr>
            <w:tcW w:type="dxa" w:w="27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A1.1, 7.2</w:t>
            </w:r>
          </w:p>
        </w:tc>
      </w:tr>
      <w:tr>
        <w:tc>
          <w:tcPr>
            <w:tcW w:type="dxa" w:w="3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vCD портал самообслуживания</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Штатный портал панели Virtuozzo</w:t>
            </w:r>
          </w:p>
        </w:tc>
        <w:tc>
          <w:tcPr>
            <w:tcW w:type="dxa" w:w="27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2.2, 6.2/6.3, 8.x</w:t>
            </w:r>
          </w:p>
        </w:tc>
      </w:tr>
      <w:tr>
        <w:tc>
          <w:tcPr>
            <w:tcW w:type="dxa" w:w="3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vCD роли и права тенантов</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RBAC панели Virtuozzo + AAA, MFA</w:t>
            </w:r>
          </w:p>
        </w:tc>
        <w:tc>
          <w:tcPr>
            <w:tcW w:type="dxa" w:w="27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7.2/7.3, 8.4/8.5</w:t>
            </w:r>
          </w:p>
        </w:tc>
      </w:tr>
      <w:tr>
        <w:tc>
          <w:tcPr>
            <w:tcW w:type="dxa" w:w="3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vCD каталоги / шаблоны</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Шаблоны/образы Virtuozzo (харднинг до выдачи)</w:t>
            </w:r>
          </w:p>
        </w:tc>
        <w:tc>
          <w:tcPr>
            <w:tcW w:type="dxa" w:w="27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2.2, 6.3</w:t>
            </w:r>
          </w:p>
        </w:tc>
      </w:tr>
      <w:tr>
        <w:tc>
          <w:tcPr>
            <w:tcW w:type="dxa" w:w="3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vCD API доступ тенантов</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API панели Virtuozzo (TLS, аутентификация)</w:t>
            </w:r>
          </w:p>
        </w:tc>
        <w:tc>
          <w:tcPr>
            <w:tcW w:type="dxa" w:w="27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4.2.1, 8.x</w:t>
            </w:r>
          </w:p>
        </w:tc>
      </w:tr>
      <w:tr>
        <w:tc>
          <w:tcPr>
            <w:tcW w:type="dxa" w:w="3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vCD audit / события портала</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Логи панели Virtuozzo → SIEM</w:t>
            </w:r>
          </w:p>
        </w:tc>
        <w:tc>
          <w:tcPr>
            <w:tcW w:type="dxa" w:w="27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10.2, A1.2</w:t>
            </w:r>
          </w:p>
        </w:tc>
      </w:tr>
    </w:tbl>
    <w:p>
      <w:pPr>
        <w:spacing w:after="120"/>
      </w:pPr>
    </w:p>
    <w:p>
      <w:pPr>
        <w:pStyle w:val="Heading2"/>
      </w:pPr>
      <w:r>
        <w:t xml:space="preserve">5.3. Компонент: программно-определяемая сеть (NSX-T)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3400"/>
        <w:gridCol w:w="2760"/>
      </w:tblGrid>
      <w:tr>
        <w:trPr>
          <w:tblHeader/>
        </w:trPr>
        <w:tc>
          <w:tcPr>
            <w:tcW w:type="dxa" w:w="3200"/>
            <w:tcBorders>
              <w:top w:val="single" w:color="CCCCCC" w:sz="1"/>
              <w:left w:val="single" w:color="CCCCCC" w:sz="1"/>
              <w:bottom w:val="single" w:color="CCCCCC" w:sz="1"/>
              <w:right w:val="single" w:color="CCCCCC" w:sz="1"/>
            </w:tcBorders>
            <w:shd w:fill="D5E8F0" w:val="clear"/>
            <w:tcMar>
              <w:top w:type="dxa" w:w="60"/>
              <w:left w:type="dxa" w:w="110"/>
              <w:bottom w:type="dxa" w:w="60"/>
              <w:right w:type="dxa" w:w="110"/>
            </w:tcMar>
          </w:tcPr>
          <w:p>
            <w:pPr>
              <w:jc w:val="left"/>
            </w:pPr>
            <w:r>
              <w:rPr>
                <w:b/>
                <w:bCs/>
                <w:sz w:val="20"/>
                <w:szCs w:val="20"/>
              </w:rPr>
              <w:t xml:space="preserve">Было (NSX-T)</w:t>
            </w:r>
          </w:p>
        </w:tc>
        <w:tc>
          <w:tcPr>
            <w:tcW w:type="dxa" w:w="3400"/>
            <w:tcBorders>
              <w:top w:val="single" w:color="CCCCCC" w:sz="1"/>
              <w:left w:val="single" w:color="CCCCCC" w:sz="1"/>
              <w:bottom w:val="single" w:color="CCCCCC" w:sz="1"/>
              <w:right w:val="single" w:color="CCCCCC" w:sz="1"/>
            </w:tcBorders>
            <w:shd w:fill="D5E8F0" w:val="clear"/>
            <w:tcMar>
              <w:top w:type="dxa" w:w="60"/>
              <w:left w:type="dxa" w:w="110"/>
              <w:bottom w:type="dxa" w:w="60"/>
              <w:right w:type="dxa" w:w="110"/>
            </w:tcMar>
          </w:tcPr>
          <w:p>
            <w:pPr>
              <w:jc w:val="left"/>
            </w:pPr>
            <w:r>
              <w:rPr>
                <w:b/>
                <w:bCs/>
                <w:sz w:val="20"/>
                <w:szCs w:val="20"/>
              </w:rPr>
              <w:t xml:space="preserve">Стало (FortiGate/Virtuozzo)</w:t>
            </w:r>
          </w:p>
        </w:tc>
        <w:tc>
          <w:tcPr>
            <w:tcW w:type="dxa" w:w="2760"/>
            <w:tcBorders>
              <w:top w:val="single" w:color="CCCCCC" w:sz="1"/>
              <w:left w:val="single" w:color="CCCCCC" w:sz="1"/>
              <w:bottom w:val="single" w:color="CCCCCC" w:sz="1"/>
              <w:right w:val="single" w:color="CCCCCC" w:sz="1"/>
            </w:tcBorders>
            <w:shd w:fill="D5E8F0" w:val="clear"/>
            <w:tcMar>
              <w:top w:type="dxa" w:w="60"/>
              <w:left w:type="dxa" w:w="110"/>
              <w:bottom w:type="dxa" w:w="60"/>
              <w:right w:type="dxa" w:w="110"/>
            </w:tcMar>
          </w:tcPr>
          <w:p>
            <w:pPr>
              <w:jc w:val="left"/>
            </w:pPr>
            <w:r>
              <w:rPr>
                <w:b/>
                <w:bCs/>
                <w:sz w:val="20"/>
                <w:szCs w:val="20"/>
              </w:rPr>
              <w:t xml:space="preserve">Переоценка (Req.)</w:t>
            </w:r>
          </w:p>
        </w:tc>
      </w:tr>
      <w:tr>
        <w:tc>
          <w:tcPr>
            <w:tcW w:type="dxa" w:w="3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NSX-T overlay / сегменты</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VLAN Virtuozzo + транк на FortiGate</w:t>
            </w:r>
          </w:p>
        </w:tc>
        <w:tc>
          <w:tcPr>
            <w:tcW w:type="dxa" w:w="27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1.2/1.3, 11.4.5</w:t>
            </w:r>
          </w:p>
        </w:tc>
      </w:tr>
      <w:tr>
        <w:tc>
          <w:tcPr>
            <w:tcW w:type="dxa" w:w="3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NSX-T Distributed Firewall (DFW, east-west на vNIC)</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VDOM-политики FortiGate (north-south/между VLAN) + VLAN-изоляция; внутрисегментная изоляция переосмыслена</w:t>
            </w:r>
          </w:p>
        </w:tc>
        <w:tc>
          <w:tcPr>
            <w:tcW w:type="dxa" w:w="27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1.3/1.4, 11.4.5/11.4.6, A1</w:t>
            </w:r>
          </w:p>
        </w:tc>
      </w:tr>
      <w:tr>
        <w:tc>
          <w:tcPr>
            <w:tcW w:type="dxa" w:w="3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NSX-T Edge / шлюзы</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VDOM EDGE на FortiGate 1800F</w:t>
            </w:r>
          </w:p>
        </w:tc>
        <w:tc>
          <w:tcPr>
            <w:tcW w:type="dxa" w:w="27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1.2/1.4</w:t>
            </w:r>
          </w:p>
        </w:tc>
      </w:tr>
      <w:tr>
        <w:tc>
          <w:tcPr>
            <w:tcW w:type="dxa" w:w="3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NSX-T микросегментация тенантов</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VLAN на тенанта + VDOM TENANT</w:t>
            </w:r>
          </w:p>
        </w:tc>
        <w:tc>
          <w:tcPr>
            <w:tcW w:type="dxa" w:w="27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A1.1, 11.4.5</w:t>
            </w:r>
          </w:p>
        </w:tc>
      </w:tr>
      <w:tr>
        <w:tc>
          <w:tcPr>
            <w:tcW w:type="dxa" w:w="32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NSX-T логи DFW</w:t>
            </w:r>
          </w:p>
        </w:tc>
        <w:tc>
          <w:tcPr>
            <w:tcW w:type="dxa" w:w="34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Логи FortiGate (все VDOM) → SIEM</w:t>
            </w:r>
          </w:p>
        </w:tc>
        <w:tc>
          <w:tcPr>
            <w:tcW w:type="dxa" w:w="27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10.2-10.7, 1.2.6</w:t>
            </w:r>
          </w:p>
        </w:tc>
      </w:tr>
    </w:tbl>
    <w:p>
      <w:pPr>
        <w:spacing w:after="120"/>
      </w:pPr>
    </w:p>
    <w:p>
      <w:pPr>
        <w:spacing w:after="120"/>
      </w:pPr>
      <w:r>
        <w:rPr>
          <w:b/>
          <w:bCs/>
        </w:rPr>
        <w:t xml:space="preserve">Риск, требующий явного обоснования (gap при уходе с NSX-T):</w:t>
      </w:r>
    </w:p>
    <w:p>
      <w:pPr>
        <w:spacing w:after="120"/>
      </w:pPr>
      <w:r>
        <w:t xml:space="preserve">NSX-T DFW фильтровал трафик east-west на уровне каждого vNIC, включая трафик между ВМ внутри одного логического сегмента. VDOM на FortiGate этот трафик внутри одного VLAN по умолчанию не инспектирует. При переходе необходимо: либо разнести ранее микросегментированные нагрузки по отдельным VLAN (чтобы трафик проходил через FortiGate), либо применить локальные средства фильтрации на гостях (host firewall), либо обосновать, что внутрисегментная изоляция не требуется для CDE. Выбранный подход документируется и подтверждается тестом сегментации (Req. 11.4.5).</w:t>
      </w:r>
    </w:p>
    <w:p>
      <w:pPr>
        <w:spacing w:after="120"/>
      </w:pPr>
    </w:p>
    <w:p>
      <w:pPr>
        <w:spacing w:after="120"/>
      </w:pPr>
      <w:r>
        <w:rPr>
          <w:b/>
          <w:bCs/>
        </w:rPr>
        <w:t xml:space="preserve">Обязательные активности при full reassessment:</w:t>
      </w:r>
    </w:p>
    <w:p>
      <w:pPr>
        <w:pStyle w:val="ListParagraph"/>
        <w:numPr>
          <w:ilvl w:val="0"/>
          <w:numId w:val="3"/>
        </w:numPr>
        <w:spacing w:after="40"/>
      </w:pPr>
      <w:r>
        <w:t xml:space="preserve">Оформить change-record с оценкой влияния на PCI-охват (6.5.1).</w:t>
      </w:r>
    </w:p>
    <w:p>
      <w:pPr>
        <w:pStyle w:val="ListParagraph"/>
        <w:numPr>
          <w:ilvl w:val="0"/>
          <w:numId w:val="3"/>
        </w:numPr>
        <w:spacing w:after="40"/>
      </w:pPr>
      <w:r>
        <w:t xml:space="preserve">Обновить scope, asset inventory, dataflow и network diagrams (12.5.1/12.5.2).</w:t>
      </w:r>
    </w:p>
    <w:p>
      <w:pPr>
        <w:pStyle w:val="ListParagraph"/>
        <w:numPr>
          <w:ilvl w:val="0"/>
          <w:numId w:val="3"/>
        </w:numPr>
        <w:spacing w:after="40"/>
      </w:pPr>
      <w:r>
        <w:t xml:space="preserve">Разработать и утвердить hardening-стандарты Virtuozzo (2.2).</w:t>
      </w:r>
    </w:p>
    <w:p>
      <w:pPr>
        <w:pStyle w:val="ListParagraph"/>
        <w:numPr>
          <w:ilvl w:val="0"/>
          <w:numId w:val="3"/>
        </w:numPr>
        <w:spacing w:after="40"/>
      </w:pPr>
      <w:r>
        <w:t xml:space="preserve">Выполнить внутренний и ASV vuln-скан после изменения (11.3.1.3).</w:t>
      </w:r>
    </w:p>
    <w:p>
      <w:pPr>
        <w:pStyle w:val="ListParagraph"/>
        <w:numPr>
          <w:ilvl w:val="0"/>
          <w:numId w:val="3"/>
        </w:numPr>
        <w:spacing w:after="40"/>
      </w:pPr>
      <w:r>
        <w:t xml:space="preserve">Повторно провести пентест сегментации (11.4.5/11.4.6).</w:t>
      </w:r>
    </w:p>
    <w:p>
      <w:pPr>
        <w:pStyle w:val="ListParagraph"/>
        <w:numPr>
          <w:ilvl w:val="0"/>
          <w:numId w:val="3"/>
        </w:numPr>
        <w:spacing w:after="40"/>
      </w:pPr>
      <w:r>
        <w:t xml:space="preserve">Подключить новые источники логов в SIEM (10).</w:t>
      </w:r>
    </w:p>
    <w:p>
      <w:pPr>
        <w:pStyle w:val="ListParagraph"/>
        <w:numPr>
          <w:ilvl w:val="0"/>
          <w:numId w:val="3"/>
        </w:numPr>
        <w:spacing w:after="40"/>
      </w:pPr>
      <w:r>
        <w:t xml:space="preserve">Пересмотреть механизм изоляции тенантов (A1) — ранее vCD+NSX-T, теперь панель Virtuozzo+VDOM.</w:t>
      </w:r>
    </w:p>
    <w:p>
      <w:pPr>
        <w:pStyle w:val="ListParagraph"/>
        <w:numPr>
          <w:ilvl w:val="0"/>
          <w:numId w:val="3"/>
        </w:numPr>
        <w:spacing w:after="40"/>
      </w:pPr>
      <w:r>
        <w:t xml:space="preserve">Обосновать замену NSX-T DFW: внутрисегментная изоляция через VLAN-разнесение/host-firewall (1.3/1.4, 11.4.5).</w:t>
      </w:r>
    </w:p>
    <w:p>
      <w:pPr>
        <w:pStyle w:val="ListParagraph"/>
        <w:numPr>
          <w:ilvl w:val="0"/>
          <w:numId w:val="3"/>
        </w:numPr>
        <w:spacing w:after="40"/>
      </w:pPr>
      <w:r>
        <w:t xml:space="preserve">Переоценить портал самообслуживания (бывш. vCD): доступ тенантов, RBAC, харднинг панели Virtuozzo (2.2, 7, 8).</w:t>
      </w:r>
    </w:p>
    <w:p>
      <w:pPr>
        <w:pStyle w:val="ListParagraph"/>
        <w:numPr>
          <w:ilvl w:val="0"/>
          <w:numId w:val="3"/>
        </w:numPr>
        <w:spacing w:after="40"/>
      </w:pPr>
      <w:r>
        <w:t xml:space="preserve">Обновить процедуры управления ключами/шифрованием (3.5-3.7).</w:t>
      </w:r>
    </w:p>
    <w:p>
      <w:pPr>
        <w:pStyle w:val="ListParagraph"/>
        <w:numPr>
          <w:ilvl w:val="0"/>
          <w:numId w:val="3"/>
        </w:numPr>
        <w:spacing w:after="40"/>
      </w:pPr>
      <w:r>
        <w:t xml:space="preserve">Провести обучение персонала по новой платформе (12.6).</w:t>
      </w:r>
    </w:p>
    <w:p>
      <w:pPr>
        <w:pStyle w:val="ListParagraph"/>
        <w:numPr>
          <w:ilvl w:val="0"/>
          <w:numId w:val="3"/>
        </w:numPr>
        <w:spacing w:after="40"/>
      </w:pPr>
      <w:r>
        <w:t xml:space="preserve">Согласовать с QSA полную переоценку всех применимых требований (ROC/AOC v4.0.1).</w:t>
      </w:r>
    </w:p>
    <w:p>
      <w:r>
        <w:br w:type="page"/>
      </w:r>
    </w:p>
    <w:p>
      <w:pPr>
        <w:pStyle w:val="Heading1"/>
      </w:pPr>
      <w:r>
        <w:t xml:space="preserve">6. Чек-лист готовности к QSA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0"/>
        <w:gridCol w:w="1600"/>
        <w:gridCol w:w="2160"/>
      </w:tblGrid>
      <w:tr>
        <w:trPr>
          <w:tblHeader/>
        </w:trPr>
        <w:tc>
          <w:tcPr>
            <w:tcW w:type="dxa" w:w="5600"/>
            <w:tcBorders>
              <w:top w:val="single" w:color="CCCCCC" w:sz="1"/>
              <w:left w:val="single" w:color="CCCCCC" w:sz="1"/>
              <w:bottom w:val="single" w:color="CCCCCC" w:sz="1"/>
              <w:right w:val="single" w:color="CCCCCC" w:sz="1"/>
            </w:tcBorders>
            <w:shd w:fill="D5E8F0" w:val="clear"/>
            <w:tcMar>
              <w:top w:type="dxa" w:w="60"/>
              <w:left w:type="dxa" w:w="110"/>
              <w:bottom w:type="dxa" w:w="60"/>
              <w:right w:type="dxa" w:w="110"/>
            </w:tcMar>
          </w:tcPr>
          <w:p>
            <w:pPr>
              <w:jc w:val="left"/>
            </w:pPr>
            <w:r>
              <w:rPr>
                <w:b/>
                <w:bCs/>
                <w:sz w:val="20"/>
                <w:szCs w:val="20"/>
              </w:rPr>
              <w:t xml:space="preserve">Пункт готовности</w:t>
            </w:r>
          </w:p>
        </w:tc>
        <w:tc>
          <w:tcPr>
            <w:tcW w:type="dxa" w:w="1600"/>
            <w:tcBorders>
              <w:top w:val="single" w:color="CCCCCC" w:sz="1"/>
              <w:left w:val="single" w:color="CCCCCC" w:sz="1"/>
              <w:bottom w:val="single" w:color="CCCCCC" w:sz="1"/>
              <w:right w:val="single" w:color="CCCCCC" w:sz="1"/>
            </w:tcBorders>
            <w:shd w:fill="D5E8F0" w:val="clear"/>
            <w:tcMar>
              <w:top w:type="dxa" w:w="60"/>
              <w:left w:type="dxa" w:w="110"/>
              <w:bottom w:type="dxa" w:w="60"/>
              <w:right w:type="dxa" w:w="110"/>
            </w:tcMar>
          </w:tcPr>
          <w:p>
            <w:pPr>
              <w:jc w:val="left"/>
            </w:pPr>
            <w:r>
              <w:rPr>
                <w:b/>
                <w:bCs/>
                <w:sz w:val="20"/>
                <w:szCs w:val="20"/>
              </w:rPr>
              <w:t xml:space="preserve">Req.</w:t>
            </w:r>
          </w:p>
        </w:tc>
        <w:tc>
          <w:tcPr>
            <w:tcW w:type="dxa" w:w="2160"/>
            <w:tcBorders>
              <w:top w:val="single" w:color="CCCCCC" w:sz="1"/>
              <w:left w:val="single" w:color="CCCCCC" w:sz="1"/>
              <w:bottom w:val="single" w:color="CCCCCC" w:sz="1"/>
              <w:right w:val="single" w:color="CCCCCC" w:sz="1"/>
            </w:tcBorders>
            <w:shd w:fill="D5E8F0" w:val="clear"/>
            <w:tcMar>
              <w:top w:type="dxa" w:w="60"/>
              <w:left w:type="dxa" w:w="110"/>
              <w:bottom w:type="dxa" w:w="60"/>
              <w:right w:type="dxa" w:w="110"/>
            </w:tcMar>
          </w:tcPr>
          <w:p>
            <w:pPr>
              <w:jc w:val="left"/>
            </w:pPr>
            <w:r>
              <w:rPr>
                <w:b/>
                <w:bCs/>
                <w:sz w:val="20"/>
                <w:szCs w:val="20"/>
              </w:rPr>
              <w:t xml:space="preserve">Статус</w:t>
            </w:r>
          </w:p>
        </w:tc>
      </w:tr>
      <w:tr>
        <w:tc>
          <w:tcPr>
            <w:tcW w:type="dxa" w:w="5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Scope подтверждён, dataflow/network/segmentation диаграммы актуальны</w:t>
            </w:r>
          </w:p>
        </w:tc>
        <w:tc>
          <w:tcPr>
            <w:tcW w:type="dxa" w:w="1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12.5.2</w:t>
            </w:r>
          </w:p>
        </w:tc>
        <w:tc>
          <w:tcPr>
            <w:tcW w:type="dxa" w:w="21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
            </w:r>
          </w:p>
        </w:tc>
      </w:tr>
      <w:tr>
        <w:tc>
          <w:tcPr>
            <w:tcW w:type="dxa" w:w="5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Scope: каждый тенант — отдельный CDE (VLAN+VDOM), свой ROC</w:t>
            </w:r>
          </w:p>
        </w:tc>
        <w:tc>
          <w:tcPr>
            <w:tcW w:type="dxa" w:w="1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12.5.2</w:t>
            </w:r>
          </w:p>
        </w:tc>
        <w:tc>
          <w:tcPr>
            <w:tcW w:type="dxa" w:w="21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
            </w:r>
          </w:p>
        </w:tc>
      </w:tr>
      <w:tr>
        <w:tc>
          <w:tcPr>
            <w:tcW w:type="dxa" w:w="5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Asset inventory по тенантам-CDE (VLAN/VDOM/ROC)</w:t>
            </w:r>
          </w:p>
        </w:tc>
        <w:tc>
          <w:tcPr>
            <w:tcW w:type="dxa" w:w="1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12.5.1</w:t>
            </w:r>
          </w:p>
        </w:tc>
        <w:tc>
          <w:tcPr>
            <w:tcW w:type="dxa" w:w="21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
            </w:r>
          </w:p>
        </w:tc>
      </w:tr>
      <w:tr>
        <w:tc>
          <w:tcPr>
            <w:tcW w:type="dxa" w:w="5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FortiGate (общие) — connected; VDOM изолирует каждый CDE</w:t>
            </w:r>
          </w:p>
        </w:tc>
        <w:tc>
          <w:tcPr>
            <w:tcW w:type="dxa" w:w="1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1.x</w:t>
            </w:r>
          </w:p>
        </w:tc>
        <w:tc>
          <w:tcPr>
            <w:tcW w:type="dxa" w:w="21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
            </w:r>
          </w:p>
        </w:tc>
      </w:tr>
      <w:tr>
        <w:tc>
          <w:tcPr>
            <w:tcW w:type="dxa" w:w="5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Тест сегментации покрывает границы между всеми CDE</w:t>
            </w:r>
          </w:p>
        </w:tc>
        <w:tc>
          <w:tcPr>
            <w:tcW w:type="dxa" w:w="1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11.4.5</w:t>
            </w:r>
          </w:p>
        </w:tc>
        <w:tc>
          <w:tcPr>
            <w:tcW w:type="dxa" w:w="21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
            </w:r>
          </w:p>
        </w:tc>
      </w:tr>
      <w:tr>
        <w:tc>
          <w:tcPr>
            <w:tcW w:type="dxa" w:w="5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Change-record (vSphere+vCD+NSX-T→Virtuozzo) оформлен</w:t>
            </w:r>
          </w:p>
        </w:tc>
        <w:tc>
          <w:tcPr>
            <w:tcW w:type="dxa" w:w="1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6.5.1</w:t>
            </w:r>
          </w:p>
        </w:tc>
        <w:tc>
          <w:tcPr>
            <w:tcW w:type="dxa" w:w="21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
            </w:r>
          </w:p>
        </w:tc>
      </w:tr>
      <w:tr>
        <w:tc>
          <w:tcPr>
            <w:tcW w:type="dxa" w:w="5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Hardening-стандарты Virtuozzo (узлы + панель) утверждены</w:t>
            </w:r>
          </w:p>
        </w:tc>
        <w:tc>
          <w:tcPr>
            <w:tcW w:type="dxa" w:w="1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2.2</w:t>
            </w:r>
          </w:p>
        </w:tc>
        <w:tc>
          <w:tcPr>
            <w:tcW w:type="dxa" w:w="21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
            </w:r>
          </w:p>
        </w:tc>
      </w:tr>
      <w:tr>
        <w:tc>
          <w:tcPr>
            <w:tcW w:type="dxa" w:w="5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FortiGate ruleset документирован, обзор за 6 мес. есть</w:t>
            </w:r>
          </w:p>
        </w:tc>
        <w:tc>
          <w:tcPr>
            <w:tcW w:type="dxa" w:w="1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1.2.7</w:t>
            </w:r>
          </w:p>
        </w:tc>
        <w:tc>
          <w:tcPr>
            <w:tcW w:type="dxa" w:w="21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
            </w:r>
          </w:p>
        </w:tc>
      </w:tr>
      <w:tr>
        <w:tc>
          <w:tcPr>
            <w:tcW w:type="dxa" w:w="5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Замена NSX-T DFW обоснована (внутрисегм. изоляция)</w:t>
            </w:r>
          </w:p>
        </w:tc>
        <w:tc>
          <w:tcPr>
            <w:tcW w:type="dxa" w:w="1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1.3/1.4</w:t>
            </w:r>
          </w:p>
        </w:tc>
        <w:tc>
          <w:tcPr>
            <w:tcW w:type="dxa" w:w="21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
            </w:r>
          </w:p>
        </w:tc>
      </w:tr>
      <w:tr>
        <w:tc>
          <w:tcPr>
            <w:tcW w:type="dxa" w:w="5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Портал тенантов (бывш. vCD→Virtuozzo): доступ/RBAC переоценён</w:t>
            </w:r>
          </w:p>
        </w:tc>
        <w:tc>
          <w:tcPr>
            <w:tcW w:type="dxa" w:w="1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7/8</w:t>
            </w:r>
          </w:p>
        </w:tc>
        <w:tc>
          <w:tcPr>
            <w:tcW w:type="dxa" w:w="21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
            </w:r>
          </w:p>
        </w:tc>
      </w:tr>
      <w:tr>
        <w:tc>
          <w:tcPr>
            <w:tcW w:type="dxa" w:w="5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Тест сегментации заново: между CDE, и внутри каждого CDE</w:t>
            </w:r>
          </w:p>
        </w:tc>
        <w:tc>
          <w:tcPr>
            <w:tcW w:type="dxa" w:w="1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11.4.5</w:t>
            </w:r>
          </w:p>
        </w:tc>
        <w:tc>
          <w:tcPr>
            <w:tcW w:type="dxa" w:w="21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
            </w:r>
          </w:p>
        </w:tc>
      </w:tr>
      <w:tr>
        <w:tc>
          <w:tcPr>
            <w:tcW w:type="dxa" w:w="5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Внутр. + ASV сканы за последний квартал пройдены</w:t>
            </w:r>
          </w:p>
        </w:tc>
        <w:tc>
          <w:tcPr>
            <w:tcW w:type="dxa" w:w="1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11.3</w:t>
            </w:r>
          </w:p>
        </w:tc>
        <w:tc>
          <w:tcPr>
            <w:tcW w:type="dxa" w:w="21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
            </w:r>
          </w:p>
        </w:tc>
      </w:tr>
      <w:tr>
        <w:tc>
          <w:tcPr>
            <w:tcW w:type="dxa" w:w="5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Ежегодный пентест выполнен</w:t>
            </w:r>
          </w:p>
        </w:tc>
        <w:tc>
          <w:tcPr>
            <w:tcW w:type="dxa" w:w="1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11.4.3</w:t>
            </w:r>
          </w:p>
        </w:tc>
        <w:tc>
          <w:tcPr>
            <w:tcW w:type="dxa" w:w="21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
            </w:r>
          </w:p>
        </w:tc>
      </w:tr>
      <w:tr>
        <w:tc>
          <w:tcPr>
            <w:tcW w:type="dxa" w:w="5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MFA включён для всего доступа в CDE</w:t>
            </w:r>
          </w:p>
        </w:tc>
        <w:tc>
          <w:tcPr>
            <w:tcW w:type="dxa" w:w="1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8.4/8.5</w:t>
            </w:r>
          </w:p>
        </w:tc>
        <w:tc>
          <w:tcPr>
            <w:tcW w:type="dxa" w:w="21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
            </w:r>
          </w:p>
        </w:tc>
      </w:tr>
      <w:tr>
        <w:tc>
          <w:tcPr>
            <w:tcW w:type="dxa" w:w="5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Логи Virtuozzo/гостей подключены в SIEM, ежедн. обзор</w:t>
            </w:r>
          </w:p>
        </w:tc>
        <w:tc>
          <w:tcPr>
            <w:tcW w:type="dxa" w:w="1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10.2-10.4</w:t>
            </w:r>
          </w:p>
        </w:tc>
        <w:tc>
          <w:tcPr>
            <w:tcW w:type="dxa" w:w="21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
            </w:r>
          </w:p>
        </w:tc>
      </w:tr>
      <w:tr>
        <w:tc>
          <w:tcPr>
            <w:tcW w:type="dxa" w:w="5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Хранение PAN зашифровано/маскировано; SAD не хранится</w:t>
            </w:r>
          </w:p>
        </w:tc>
        <w:tc>
          <w:tcPr>
            <w:tcW w:type="dxa" w:w="1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3.3-3.5</w:t>
            </w:r>
          </w:p>
        </w:tc>
        <w:tc>
          <w:tcPr>
            <w:tcW w:type="dxa" w:w="21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
            </w:r>
          </w:p>
        </w:tc>
      </w:tr>
      <w:tr>
        <w:tc>
          <w:tcPr>
            <w:tcW w:type="dxa" w:w="5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Процедуры управления ключами актуальны</w:t>
            </w:r>
          </w:p>
        </w:tc>
        <w:tc>
          <w:tcPr>
            <w:tcW w:type="dxa" w:w="1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3.6/3.7</w:t>
            </w:r>
          </w:p>
        </w:tc>
        <w:tc>
          <w:tcPr>
            <w:tcW w:type="dxa" w:w="21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
            </w:r>
          </w:p>
        </w:tc>
      </w:tr>
      <w:tr>
        <w:tc>
          <w:tcPr>
            <w:tcW w:type="dxa" w:w="5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Все политики пересмотрены за 12 мес., персонал ознакомлен</w:t>
            </w:r>
          </w:p>
        </w:tc>
        <w:tc>
          <w:tcPr>
            <w:tcW w:type="dxa" w:w="1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12.1.1/12.6</w:t>
            </w:r>
          </w:p>
        </w:tc>
        <w:tc>
          <w:tcPr>
            <w:tcW w:type="dxa" w:w="21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
            </w:r>
          </w:p>
        </w:tc>
      </w:tr>
      <w:tr>
        <w:tc>
          <w:tcPr>
            <w:tcW w:type="dxa" w:w="5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Shared Responsibility Matrix подписана</w:t>
            </w:r>
          </w:p>
        </w:tc>
        <w:tc>
          <w:tcPr>
            <w:tcW w:type="dxa" w:w="1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12.8.5</w:t>
            </w:r>
          </w:p>
        </w:tc>
        <w:tc>
          <w:tcPr>
            <w:tcW w:type="dxa" w:w="21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
            </w:r>
          </w:p>
        </w:tc>
      </w:tr>
      <w:tr>
        <w:tc>
          <w:tcPr>
            <w:tcW w:type="dxa" w:w="5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Multi-tenant isolation подтверждена</w:t>
            </w:r>
          </w:p>
        </w:tc>
        <w:tc>
          <w:tcPr>
            <w:tcW w:type="dxa" w:w="1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A1</w:t>
            </w:r>
          </w:p>
        </w:tc>
        <w:tc>
          <w:tcPr>
            <w:tcW w:type="dxa" w:w="21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
            </w:r>
          </w:p>
        </w:tc>
      </w:tr>
      <w:tr>
        <w:tc>
          <w:tcPr>
            <w:tcW w:type="dxa" w:w="5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TPSP список + AOC поставщиков собраны</w:t>
            </w:r>
          </w:p>
        </w:tc>
        <w:tc>
          <w:tcPr>
            <w:tcW w:type="dxa" w:w="1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12.8</w:t>
            </w:r>
          </w:p>
        </w:tc>
        <w:tc>
          <w:tcPr>
            <w:tcW w:type="dxa" w:w="21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
            </w:r>
          </w:p>
        </w:tc>
      </w:tr>
      <w:tr>
        <w:tc>
          <w:tcPr>
            <w:tcW w:type="dxa" w:w="5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IRP протестирован за последний год</w:t>
            </w:r>
          </w:p>
        </w:tc>
        <w:tc>
          <w:tcPr>
            <w:tcW w:type="dxa" w:w="160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12.10</w:t>
            </w:r>
          </w:p>
        </w:tc>
        <w:tc>
          <w:tcPr>
            <w:tcW w:type="dxa" w:w="2160"/>
            <w:tcBorders>
              <w:top w:val="single" w:color="CCCCCC" w:sz="1"/>
              <w:left w:val="single" w:color="CCCCCC" w:sz="1"/>
              <w:bottom w:val="single" w:color="CCCCCC" w:sz="1"/>
              <w:right w:val="single" w:color="CCCCCC" w:sz="1"/>
            </w:tcBorders>
            <w:tcMar>
              <w:top w:type="dxa" w:w="60"/>
              <w:left w:type="dxa" w:w="110"/>
              <w:bottom w:type="dxa" w:w="60"/>
              <w:right w:type="dxa" w:w="110"/>
            </w:tcMar>
          </w:tcPr>
          <w:p>
            <w:pPr>
              <w:jc w:val="left"/>
            </w:pPr>
            <w:r>
              <w:rPr>
                <w:b w:val="false"/>
                <w:bCs w:val="false"/>
                <w:sz w:val="20"/>
                <w:szCs w:val="20"/>
              </w:rPr>
              <w:t xml:space="preserve"/>
            </w:r>
          </w:p>
        </w:tc>
      </w:tr>
    </w:tbl>
    <w:p>
      <w:pPr>
        <w:spacing w:after="120"/>
      </w:pPr>
    </w:p>
    <w:p>
      <w:pPr>
        <w:spacing w:after="120"/>
      </w:pPr>
      <w:r>
        <w:rPr>
          <w:i/>
          <w:iCs/>
          <w:sz w:val="18"/>
          <w:szCs w:val="18"/>
        </w:rPr>
        <w:t xml:space="preserve">Источники по стандарту: PCI SSC Document Library (pcisecuritystandards.org) — PCI DSS v4.0.1, ROC Template, AOC for Service Providers, SAQ D — Service Provider, Summary of Changes v4.0→v4.0.1.</w:t>
      </w:r>
    </w:p>
    <w:sectPr>
      <w:headerReference w:type="default" r:id="rId7"/>
      <w:footerReference w:type="default" r:id="rId8"/>
      <w:pgSz w:w="12240" w:h="15840"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88888"/>
        <w:sz w:val="16"/>
        <w:szCs w:val="16"/>
      </w:rPr>
      <w:t xml:space="preserve">Стр. </w:t>
    </w:r>
    <w:r>
      <w:rPr>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888888"/>
        <w:sz w:val="16"/>
        <w:szCs w:val="16"/>
      </w:rPr>
      <w:t xml:space="preserve">PCI DSS v4.0.1 — Комплект документов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abstractNum w:abstractNumId="3" w15:restartNumberingAfterBreak="0">
    <w:multiLevelType w:val="hybridMultilevel"/>
    <w:lvl w:ilvl="0" w15:tentative="1">
      <w:start w:val="1"/>
      <w:numFmt w:val="decimal"/>
      <w:lvlText w:val="%1."/>
      <w:lvlJc w:val="left"/>
      <w:pPr>
        <w:ind w:left="560" w:hanging="28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1BA0D7" w:sz="6" w:space="4"/>
      </w:pBdr>
      <w:spacing w:after="160" w:before="240"/>
      <w:outlineLvl w:val="0"/>
    </w:pPr>
    <w:rPr>
      <w:rFonts w:ascii="Arial" w:cs="Arial" w:eastAsia="Arial" w:hAnsi="Arial"/>
      <w:b/>
      <w:bCs/>
      <w:color w:val="0B4F6C"/>
      <w:sz w:val="30"/>
      <w:szCs w:val="30"/>
    </w:rPr>
  </w:style>
  <w:style w:type="paragraph" w:styleId="Heading2">
    <w:name w:val="Heading 2"/>
    <w:basedOn w:val="Normal"/>
    <w:next w:val="Normal"/>
    <w:qFormat/>
    <w:pPr>
      <w:spacing w:after="120" w:before="180"/>
      <w:outlineLvl w:val="1"/>
    </w:pPr>
    <w:rPr>
      <w:rFonts w:ascii="Arial" w:cs="Arial" w:eastAsia="Arial" w:hAnsi="Arial"/>
      <w:b/>
      <w:bCs/>
      <w:color w:val="333333"/>
      <w:sz w:val="26"/>
      <w:szCs w:val="26"/>
    </w:rPr>
  </w:style>
  <w:style w:type="paragraph" w:styleId="Heading3">
    <w:name w:val="Heading 3"/>
    <w:basedOn w:val="Normal"/>
    <w:next w:val="Normal"/>
    <w:qFormat/>
    <w:pPr>
      <w:spacing w:after="80" w:before="140"/>
      <w:outlineLvl w:val="2"/>
    </w:pPr>
    <w:rPr>
      <w:rFonts w:ascii="Arial" w:cs="Arial" w:eastAsia="Arial" w:hAnsi="Arial"/>
      <w:b/>
      <w:bCs/>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2026-06-30T11:49:28.967Z</dcterms:created>
  <dcterms:modified xsi:type="dcterms:W3CDTF">2026-06-30T11:49:28.967Z</dcterms:modified>
</cp:coreProperties>
</file>

<file path=docProps/custom.xml><?xml version="1.0" encoding="utf-8"?>
<Properties xmlns="http://schemas.openxmlformats.org/officeDocument/2006/custom-properties" xmlns:vt="http://schemas.openxmlformats.org/officeDocument/2006/docPropsVTypes"/>
</file>