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color w:val="888888"/>
          <w:sz w:val="24"/>
          <w:szCs w:val="24"/>
        </w:rPr>
        <w:t xml:space="preserve">Оператор IaaS</w:t>
      </w:r>
    </w:p>
    <w:p>
      <w:pPr>
        <w:spacing w:after="60"/>
        <w:jc w:val="center"/>
      </w:pPr>
      <w:r>
        <w:rPr>
          <w:b/>
          <w:bCs/>
          <w:color w:val="0B4F6C"/>
          <w:sz w:val="40"/>
          <w:szCs w:val="40"/>
        </w:rPr>
        <w:t xml:space="preserve">Оператор как Infrastructure Service Provider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Сертифицированная инфраструктура · передача AOC тенантам</w:t>
      </w:r>
    </w:p>
    <w:p>
      <w:pPr>
        <w:spacing w:after="300"/>
        <w:jc w:val="center"/>
      </w:pPr>
      <w:r>
        <w:rPr>
          <w:sz w:val="22"/>
          <w:szCs w:val="22"/>
        </w:rPr>
        <w:t xml:space="preserve">Соответствие PCI DSS v4.0.1 · Req. 12.8 / 12.9 / Appendix A1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Атрибут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Идентификатор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PCI-DOC-INFRA-SP-AOC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 (черновик)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Draft — заполнить владельцем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Владелец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 / Compliance Manager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Утверждающий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утверждения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[ДД.ММ.ГГГГ]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следующего пересмотра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позднее чем через 12 мес. (Req. 12.1.1)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Классификация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Область действия (scope)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Роль оператора как Infrastructure SP, AOC handoff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История изменений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3000"/>
        <w:gridCol w:w="33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Автор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 изменений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Первичная редакция в рамках re-assessment (VMware→Virtuozzo)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Утверждение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ФИО / Подпись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Подготовил (владелец)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Согласовал (Security Officer)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Утвердил (CISO/CEO)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Назначение и роль оператора</w:t>
      </w:r>
    </w:p>
    <w:p>
      <w:pPr>
        <w:spacing w:after="120"/>
      </w:pPr>
      <w:r>
        <w:t xml:space="preserve">Документ определяет роль оператора как поставщика инфраструктурных услуг (Infrastructure / Hosting Service Provider) в смысле PCI DSS v4.0.1 и порядок передачи подтверждения соответствия (AOC) тенантам. Оператор сертифицирует ИНФРАСТРУКТУРНЫЙ слой, который предоставляет как услугу; соблюдение стандарта и сертификация самих сред данных карт (CDE) — обязанность тенантов.</w:t>
      </w:r>
    </w:p>
    <w:p>
      <w:pPr>
        <w:spacing w:after="120"/>
      </w:pPr>
      <w:r>
        <w:rPr>
          <w:b/>
          <w:bCs/>
        </w:rPr>
        <w:t xml:space="preserve">Принципиальное разграничение: оператор предоставляет сертифицированную инфраструктуру; каждый тенант строит свой CDE поверх неё и проходит собственную оценку. Оператор НЕ сертифицирует CDE тенантов и не отвечает за выполнение требований внутри них.</w:t>
      </w:r>
    </w:p>
    <w:p>
      <w:pPr>
        <w:pStyle w:val="Heading1"/>
      </w:pPr>
      <w:r>
        <w:t xml:space="preserve">2. Уровень валидации оператора</w:t>
      </w:r>
    </w:p>
    <w:p>
      <w:pPr>
        <w:spacing w:after="120"/>
      </w:pPr>
      <w:r>
        <w:rPr>
          <w:i/>
          <w:iCs/>
        </w:rPr>
        <w:t xml:space="preserve">Обозначения CDE-1 … CDE-N во всех документах и схемах относятся к МНОЖЕСТВЕННЫМ независимым тенантам-CDE (по одной среде данных карт на тенанта), каждая со своим охватом и своим ROC. Оператор предоставляет общую инфраструктуру и обеспечивает изоляцию этих CDE друг от друга.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Оператор проходит оценку как сервис-провайдер Level 1: полный Report on Compliance (ROC), выполняемый QSA, и Attestation of Compliance (AOC for Service Providers).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Объём ROC оператора — требования, управляемые на уровне инфраструктуры (см. раздел 4).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AOC оператора предоставляется тенантам как доказательство соответствия инфраструктурного слоя.</w:t>
      </w:r>
    </w:p>
    <w:p>
      <w:pPr>
        <w:pStyle w:val="Heading1"/>
      </w:pPr>
      <w:r>
        <w:t xml:space="preserve">3. Границы сертифицированной инфраструктуры</w:t>
      </w:r>
    </w:p>
    <w:p>
      <w:pPr>
        <w:spacing w:after="120"/>
      </w:pPr>
      <w:r>
        <w:t xml:space="preserve">В объём сертификации оператора входят три слоя предоставляемой услуги: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Слой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Состав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Физическая / сетевая инфраструктура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ЦОД, физическая безопасность, сеть, 4 узла Virtuozzo HS (гипервизор), FortiGate 1800F, сегментация VDOM/VLAN, Virtuozzo Storage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Управление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Панель управления Virtuozzo, мониторинг, SIEM (платформенный), резервное копирование инфраструктуры, патч-менеджмент платформы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Опциональные сервисы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Предоставляемые оператором сервисы (напр. HSMaaS) — в объёме, в котором оператор ими управляет</w:t>
            </w:r>
          </w:p>
        </w:tc>
      </w:tr>
    </w:tbl>
    <w:p>
      <w:pPr>
        <w:spacing w:after="120"/>
      </w:pPr>
      <w:r>
        <w:rPr>
          <w:b/>
          <w:bCs/>
        </w:rPr>
        <w:t xml:space="preserve">Вне объёма оператора: гостевые ОС тенантов, их приложения, обработка и хранение PAN, управление ключами тенанта (кроме опциональных сервисов оператора), внутренние учётные записи и логи CDE.</w:t>
      </w:r>
    </w:p>
    <w:p>
      <w:pPr>
        <w:pStyle w:val="Heading1"/>
      </w:pPr>
      <w:r>
        <w:t xml:space="preserve">4. Требования в ROC оператора (инфраструктурный слой)</w:t>
      </w:r>
    </w:p>
    <w:p>
      <w:pPr>
        <w:spacing w:after="120"/>
      </w:pPr>
      <w:r>
        <w:t xml:space="preserve">Оператор покрывает требования в части предоставляемой инфраструктуры. Ниже — типовое разграничение; финализируется с QSA.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4000"/>
        <w:gridCol w:w="366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Req.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Оператор (инфраструктура)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Тенант (свой CDE)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Сегментация VDOM/VLAN, периметр, изоляция между CDE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Правила внутри своего CDE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Харднинг узлов/панели/сети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Харднинг своих гостевых ОС/приложений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Шифрование тома at-rest; HSMaaS (если предоставляется)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Защита PAN, управление ключами (если не HSMaaS)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TLS на инфраструктурных каналах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TLS в своём приложении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Anti-malware на узлах платформы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Anti-malware в своих ВМ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Патчи платформы; SDLC панели (если кастом)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SDLC и патчи своего ПО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7-8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Доступ/MFA к платформе и управлению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Доступ/MFA внутри своего CDE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Физическая безопасность ЦОД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Платформенные логи (не внутри CDE)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Логи внутри своего CDE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Сканы/пентест инфраструктуры; тест сегментации между CDE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Сканы/пентест своего CDE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Программа ИБ оператора; управление как SP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Программа ИБ тенанта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Изоляция тенантов-CDE друг от друга</w:t>
            </w:r>
          </w:p>
        </w:tc>
        <w:tc>
          <w:tcPr>
            <w:tcW w:type="dxa" w:w="3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Использование изоляции</w:t>
            </w:r>
          </w:p>
        </w:tc>
      </w:tr>
    </w:tbl>
    <w:p>
      <w:pPr>
        <w:pStyle w:val="Heading1"/>
      </w:pPr>
      <w:r>
        <w:t xml:space="preserve">5. Передача AOC тенантам (AOC handoff)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Оператор предоставляет каждому тенанту действующий AOC (Service Provider) как доказательство соответствия инфраструктурного слоя.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Вместе с AOC предоставляется матрица разделения ответственности, показывающая, какие требования покрыты оператором, а какие остаются за тенантом (Req. 12.9.2).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По запросу тенанта оператор предоставляет дополнительные свидетельства (описание контролей, результаты тестов сегментации в части изоляции данного тенанта).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Оператор поддерживает актуальность AOC (ежегодная переоценка) и уведомляет тенантов об изменениях статуса.</w:t>
      </w:r>
    </w:p>
    <w:p>
      <w:pPr>
        <w:pStyle w:val="Heading1"/>
      </w:pPr>
      <w:r>
        <w:t xml:space="preserve">6. Обязанности тенанта (вне ROC оператора)</w:t>
      </w:r>
    </w:p>
    <w:p>
      <w:pPr>
        <w:spacing w:after="120"/>
      </w:pPr>
      <w:r>
        <w:t xml:space="preserve">Каждый тенант самостоятельно отвечает за соответствие и сертификацию своего CDE: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Определение и поддержание охвата собственного CDE.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Выполнение требований PCI DSS внутри своего CDE (защита PAN, доступ, логирование, тестирование и т.д.).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Использование AOC оператора как доказательства инфраструктурного слоя (Req. 12.8 со стороны тенанта).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Прохождение собственной оценки (свой ROC/SAQ и AOC) согласно своему уровню.</w:t>
      </w:r>
    </w:p>
    <w:p>
      <w:pPr>
        <w:pStyle w:val="Heading1"/>
      </w:pPr>
      <w:r>
        <w:t xml:space="preserve">7. Договорное закрепление (Req. 12.8 / 12.9)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Письменные соглашения с каждым тенантом фиксируют разделение ответственности (Req. 12.9.2 со стороны оператора; 12.8.2 со стороны тенанта).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Оператор подтверждает в письменной форме ответственность за инфраструктурные требования, которые он покрывает (Req. 12.9.1).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Соглашение явно указывает, что соответствие и сертификация CDE — обязанность тенанта.</w:t>
      </w:r>
    </w:p>
    <w:p>
      <w:pPr>
        <w:pStyle w:val="Heading1"/>
      </w:pPr>
      <w:r>
        <w:t xml:space="preserve">8. Модель в одном абзаце (для тенантов и QSA)</w:t>
      </w:r>
    </w:p>
    <w:p>
      <w:pPr>
        <w:spacing w:after="120"/>
      </w:pPr>
      <w:r>
        <w:t xml:space="preserve">Оператор предоставляет сертифицированную инфраструктуру (Infrastructure Service Provider, Level 1, собственные ROC и AOC), отвечающую за физический, сетевой, гипервизорный и управляющий слои, сегментацию и изоляцию независимых тенантов-CDE. Каждый тенант получает AOC оператора и матрицу ответственности, строит свой CDE поверх инфраструктуры и проходит собственную сертификацию. Оператор не сертифицирует CDE тенантов и не отвечает за выполнение требований внутри них.</w:t>
      </w:r>
    </w:p>
    <w:p>
      <w:pPr>
        <w:pStyle w:val="Heading1"/>
      </w:pPr>
      <w:r>
        <w:t xml:space="preserve">9. Реестр выданных AOC (заполнить фактически)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280"/>
        <w:gridCol w:w="228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Тенант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 выдачи AOC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 AOC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Срок действия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[тенант 1]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[версия]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[до даты]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[тенант 2]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[версия]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[до даты]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Стр.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5"/>
        <w:szCs w:val="15"/>
      </w:rPr>
      <w:t xml:space="preserve">Оператор как Infrastructure Service Provider — PCI DSS v4.0.1 (Confidential)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BA0D7" w:sz="6" w:space="4"/>
      </w:pBdr>
      <w:spacing w:after="140" w:before="240"/>
      <w:outlineLvl w:val="0"/>
    </w:pPr>
    <w:rPr>
      <w:rFonts w:ascii="Arial" w:cs="Arial" w:eastAsia="Arial" w:hAnsi="Arial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70" w:before="12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2026-06-30T11:49:32.337Z</dcterms:created>
  <dcterms:modified xsi:type="dcterms:W3CDTF">2026-06-30T11:49:32.338Z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