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color w:val="888888"/>
          <w:sz w:val="24"/>
          <w:szCs w:val="24"/>
        </w:rPr>
        <w:t xml:space="preserve">Оператор IaaS</w:t>
      </w:r>
    </w:p>
    <w:p>
      <w:pPr>
        <w:spacing w:after="60"/>
        <w:jc w:val="center"/>
      </w:pPr>
      <w:r>
        <w:rPr>
          <w:b/>
          <w:bCs/>
          <w:color w:val="0B4F6C"/>
          <w:sz w:val="40"/>
          <w:szCs w:val="40"/>
        </w:rPr>
        <w:t xml:space="preserve">План реагирования на инциденты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Incident Response Plan</w:t>
      </w:r>
    </w:p>
    <w:p>
      <w:pPr>
        <w:spacing w:after="300"/>
        <w:jc w:val="center"/>
      </w:pPr>
      <w:r>
        <w:rPr>
          <w:sz w:val="22"/>
          <w:szCs w:val="22"/>
        </w:rPr>
        <w:t xml:space="preserve">Соответствие PCI DSS v4.0.1 · Req. 12.10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Атрибут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Значение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Идентификатор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PCI-PLN-12.10-IR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 (черновик)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Статус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Draft — заполнить владельцем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Владелец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CISO / SOC Lead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Утверждающий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CISO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утверждения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[ДД.ММ.ГГГГ]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следующего пересмотра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 позднее чем через 12 мес. (Req. 12.1.1)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Классификация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Область действия (scope)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Инциденты ИБ в разрезе тенантов-CDE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История изменений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3000"/>
        <w:gridCol w:w="3360"/>
      </w:tblGrid>
      <w:tr>
        <w:trPr>
          <w:tblHeader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Автор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Описание изменений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[ФИО]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Первичная редакция в рамках re-assessment (VMware→Virtuozzo)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Утверждение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Роль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ФИО / Подпись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Подготовил (владелец)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Согласовал (Security Officer)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Утвердил (CISO/CEO)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Назначение</w:t>
      </w:r>
    </w:p>
    <w:p>
      <w:pPr>
        <w:spacing w:after="120"/>
      </w:pPr>
      <w:r>
        <w:t xml:space="preserve">План реагирования на инциденты определяет порядок подготовки, обнаружения, реагирования и восстановления при инцидентах информационной безопасности, затрагивающих CDE, обеспечивая соответствие Требованию 12.10 PCI DSS v4.0.1.</w:t>
      </w:r>
    </w:p>
    <w:p>
      <w:pPr>
        <w:pStyle w:val="Heading1"/>
      </w:pPr>
      <w:r>
        <w:t xml:space="preserve">2. Область действия</w:t>
      </w:r>
    </w:p>
    <w:p>
      <w:pPr>
        <w:spacing w:after="120"/>
      </w:pPr>
      <w:r>
        <w:t xml:space="preserve">Все инциденты ИБ, способные затронуть конфиденциальность, целостность или доступность данных держателей карт, а также сбои критичных систем безопасности. Распространяется на весь персонал и подрядчиков.</w:t>
      </w:r>
    </w:p>
    <w:p>
      <w:pPr>
        <w:spacing w:after="120"/>
      </w:pPr>
      <w:r>
        <w:rPr>
          <w:i/>
          <w:iCs/>
        </w:rPr>
        <w:t xml:space="preserve">Терминология: «тенанты-CDE» (CDE-1 … CDE-N) — это МНОЖЕСТВЕННЫЕ независимые среды данных карт, по одной на каждого тенанта; каждая имеет собственный охват и собственный ROC. Оператор обслуживает их как общую инфраструктуру и обеспечивает изоляцию между ними.</w:t>
      </w:r>
    </w:p>
    <w:p>
      <w:pPr>
        <w:pStyle w:val="Heading1"/>
      </w:pPr>
      <w:r>
        <w:t xml:space="preserve">3. Классификация инцидентов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380"/>
        <w:gridCol w:w="338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Уровень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Описание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Примеры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Критический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Подтверждённая компрометация CHD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Утечка PAN, взлом БД CDE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Высокий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Серьёзная угроза CDE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Вторжение, вредонос в CDE, сбой сегментации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Средний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Локальное нарушение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Подозрительная активность, нарушение политики доступа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Низкий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Незначительное событие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Единичный неуспешный доступ, мелкое отклонение</w:t>
            </w:r>
          </w:p>
        </w:tc>
      </w:tr>
    </w:tbl>
    <w:p>
      <w:pPr>
        <w:pStyle w:val="Heading1"/>
      </w:pPr>
      <w:r>
        <w:t xml:space="preserve">4. Роли и команда реагирования (CSIRT)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Роль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Обязанности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Координатор инцидента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Общее руководство реагированием, эскалация, коммуникации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SOC / аналитик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Обнаружение, первичный анализ, сбор данных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Технические лиды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Локализация, устранение, восстановление в своих доменах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CISO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Принятие решений, уведомление руководства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Юрист / комплаенс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Регуляторные и договорные уведомления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Коммуникации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Внешние/внутренние уведомления при необходимости</w:t>
            </w:r>
          </w:p>
        </w:tc>
      </w:tr>
    </w:tbl>
    <w:p>
      <w:pPr>
        <w:spacing w:after="120"/>
      </w:pPr>
      <w:r>
        <w:t xml:space="preserve">Контакты команды и дежурный канал связи поддерживаются в актуальном состоянии и доступны круглосуточно (Req. 12.10.3).</w:t>
      </w:r>
    </w:p>
    <w:p>
      <w:pPr>
        <w:pStyle w:val="Heading1"/>
      </w:pPr>
      <w:r>
        <w:t xml:space="preserve">5. Этапы реагирования (Req. 12.10.1)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Подготовка: план, роли, инструменты, обучение, контакты платёжных брендов/эквайера.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Обнаружение и регистрация: источники — SIEM, IDS/IPS, FIM, оповещения о сбоях систем безопасности (Req. 12.10.5), контроль платёжных страниц.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Оценка и классификация: определение уровня, охвата, затронутых данных.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Локализация: изоляция затронутых систем, блокировка векторов.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Устранение: удаление причины, закрытие уязвимостей.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Восстановление: возврат систем в безопасную эксплуатацию, усиленный мониторинг.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Пост-инцидентный анализ: уроки, обновление контролей и плана (Req. 12.10.6).</w:t>
      </w:r>
    </w:p>
    <w:p>
      <w:pPr>
        <w:pStyle w:val="Heading1"/>
      </w:pPr>
      <w:r>
        <w:t xml:space="preserve">6. Уведомления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Уведомление платёжных брендов и эквайера в соответствии с их требованиями при компрометации CHD.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Регуляторные уведомления согласно применимому законодательству.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Уведомление затронутых клиентов-тенантов согласно договорным обязательствам (multi-tenant).</w:t>
      </w:r>
    </w:p>
    <w:p>
      <w:pPr>
        <w:pStyle w:val="Heading1"/>
      </w:pPr>
      <w:r>
        <w:t xml:space="preserve">7. Обнаружение компрометации CHD (Req. 12.10.5)</w:t>
      </w:r>
    </w:p>
    <w:p>
      <w:pPr>
        <w:spacing w:after="120"/>
      </w:pPr>
      <w:r>
        <w:t xml:space="preserve">План охватывает реагирование на оповещения от: систем обнаружения вторжений, контроля целостности (FIM), средств обнаружения несанкционированных изменений платёжных страниц, а также от механизмов контроля сегментации и сбоев NSC.</w:t>
      </w:r>
    </w:p>
    <w:p>
      <w:pPr>
        <w:pStyle w:val="Heading1"/>
      </w:pPr>
      <w:r>
        <w:t xml:space="preserve">8. Тестирование плана (Req. 12.10.2)</w:t>
      </w:r>
    </w:p>
    <w:p>
      <w:pPr>
        <w:spacing w:after="120"/>
      </w:pPr>
      <w:r>
        <w:t xml:space="preserve">План тестируется не реже одного раза в 12 месяцев (настольные учения и/или симуляция). По результатам план актуализируется. Записи тестов сохраняются.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456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 теста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Тип (tabletop/симуляция)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Результаты и улучшения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[тип]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[выводы, изменения плана]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1"/>
      </w:pPr>
      <w:r>
        <w:t xml:space="preserve">9. Доступность персонала (Req. 12.10.3)</w:t>
      </w:r>
    </w:p>
    <w:p>
      <w:pPr>
        <w:spacing w:after="120"/>
      </w:pPr>
      <w:r>
        <w:t xml:space="preserve">Назначенный персонал доступен для реагирования 24/7. Поддерживается график дежурств и резервные контакты.</w:t>
      </w:r>
    </w:p>
    <w:p>
      <w:pPr>
        <w:pStyle w:val="Heading1"/>
      </w:pPr>
      <w:r>
        <w:t xml:space="preserve">10. Обучение (Req. 12.10.4)</w:t>
      </w:r>
    </w:p>
    <w:p>
      <w:pPr>
        <w:spacing w:after="120"/>
      </w:pPr>
      <w:r>
        <w:t xml:space="preserve">Персонал, ответственный за реагирование, периодически проходит обучение по своим обязанностям.</w:t>
      </w:r>
    </w:p>
    <w:p>
      <w:pPr>
        <w:pStyle w:val="Heading1"/>
      </w:pPr>
      <w:r>
        <w:t xml:space="preserve">11. Журнал инцидентов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000"/>
        <w:gridCol w:w="2000"/>
        <w:gridCol w:w="1880"/>
        <w:gridCol w:w="1880"/>
      </w:tblGrid>
      <w:tr>
        <w:trPr>
          <w:tblHeader/>
        </w:trP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ID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Уровень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Статус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Краткое описание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[ID]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[уровень]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[open/closed]</w:t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[описание]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1"/>
      </w:pPr>
      <w:r>
        <w:t xml:space="preserve">12. Реагирование в модели множественных CDE (multi-CDE)</w:t>
      </w:r>
    </w:p>
    <w:p>
      <w:pPr>
        <w:spacing w:after="120"/>
      </w:pPr>
      <w:r>
        <w:t xml:space="preserve">Платформа обслуживает несколько независимых тенантов-CDE, у каждого свой ROC. Реагирование на инциденты учитывает разграничение: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При инциденте определяется, какой(ие) тенант-CDE затронут; меры локализации не должны нарушать изоляцию незатронутых CDE.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Уведомляются только затронутые тенанты (и при необходимости их эквайеры/бренды); данные одного CDE не раскрываются другому.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Инцидент, затрагивающий платформенную изоляцию между CDE, эскалируется с наивысшим приоритетом (потенциальный cross-CDE доступ).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Оператор информирует затронутых тенантов в соответствии с договорными обязательствами (multi-CDE service provider).</w:t>
      </w:r>
    </w:p>
    <w:sectPr>
      <w:headerReference w:type="default" r:id="rId7"/>
      <w:footerReference w:type="default" r:id="rId8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5"/>
        <w:szCs w:val="15"/>
      </w:rPr>
      <w:t xml:space="preserve">Стр. </w:t>
    </w:r>
    <w:r>
      <w:rPr>
        <w:color w:val="888888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5"/>
        <w:szCs w:val="15"/>
      </w:rPr>
      <w:t xml:space="preserve">План реагирования на инциденты — PCI DSS v4.0.1 (Confidential)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–"/>
      <w:lvlJc w:val="left"/>
      <w:pPr>
        <w:ind w:left="10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BA0D7" w:sz="6" w:space="4"/>
      </w:pBdr>
      <w:spacing w:after="140" w:before="240"/>
      <w:outlineLvl w:val="0"/>
    </w:pPr>
    <w:rPr>
      <w:rFonts w:ascii="Arial" w:cs="Arial" w:eastAsia="Arial" w:hAnsi="Arial"/>
      <w:b/>
      <w:bCs/>
      <w:color w:val="0B4F6C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70" w:before="120"/>
      <w:outlineLvl w:val="2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2026-06-30T11:49:31.160Z</dcterms:created>
  <dcterms:modified xsi:type="dcterms:W3CDTF">2026-06-30T11:49:31.160Z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